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A8F8" w14:textId="77777777" w:rsidR="003525DB" w:rsidRDefault="00000000">
      <w:pPr>
        <w:spacing w:line="360" w:lineRule="auto"/>
        <w:jc w:val="center"/>
        <w:rPr>
          <w:b/>
          <w:sz w:val="28"/>
          <w:szCs w:val="28"/>
        </w:rPr>
      </w:pPr>
      <w:r>
        <w:rPr>
          <w:b/>
          <w:sz w:val="28"/>
          <w:szCs w:val="28"/>
        </w:rPr>
        <w:t xml:space="preserve">Relación de inclusión financiera y rentabilidad en la pequeña y mediana empresa de Honduras. </w:t>
      </w:r>
    </w:p>
    <w:p w14:paraId="576CF1EE" w14:textId="77777777" w:rsidR="003525DB" w:rsidRDefault="003525DB">
      <w:pPr>
        <w:spacing w:line="360" w:lineRule="auto"/>
        <w:rPr>
          <w:b/>
          <w:sz w:val="28"/>
          <w:szCs w:val="28"/>
        </w:rPr>
      </w:pPr>
    </w:p>
    <w:p w14:paraId="098A2E60" w14:textId="77777777" w:rsidR="003525DB" w:rsidRDefault="00000000">
      <w:pPr>
        <w:spacing w:line="360" w:lineRule="auto"/>
        <w:rPr>
          <w:b/>
        </w:rPr>
      </w:pPr>
      <w:r>
        <w:rPr>
          <w:b/>
        </w:rPr>
        <w:t xml:space="preserve">DOI: </w:t>
      </w:r>
    </w:p>
    <w:p w14:paraId="1521D678" w14:textId="77777777" w:rsidR="003525DB" w:rsidRDefault="00000000">
      <w:pPr>
        <w:spacing w:line="360" w:lineRule="auto"/>
      </w:pPr>
      <w:r>
        <w:t>Recibido: 28/01/2025                                                                                Aceptado: 06/04/2025</w:t>
      </w:r>
    </w:p>
    <w:p w14:paraId="2A142963" w14:textId="77777777" w:rsidR="0037168D" w:rsidRDefault="0037168D" w:rsidP="0037168D">
      <w:pPr>
        <w:spacing w:line="360" w:lineRule="auto"/>
        <w:ind w:left="5760"/>
        <w:rPr>
          <w:bCs/>
        </w:rPr>
      </w:pPr>
    </w:p>
    <w:p w14:paraId="4E2D78E8" w14:textId="41C87095" w:rsidR="003525DB" w:rsidRPr="0037168D" w:rsidRDefault="00000000" w:rsidP="0037168D">
      <w:pPr>
        <w:spacing w:line="360" w:lineRule="auto"/>
        <w:jc w:val="right"/>
        <w:rPr>
          <w:bCs/>
        </w:rPr>
      </w:pPr>
      <w:r w:rsidRPr="0037168D">
        <w:rPr>
          <w:bCs/>
        </w:rPr>
        <w:t>Gerardo Hernández Ochoa</w:t>
      </w:r>
      <w:r w:rsidR="0037168D">
        <w:rPr>
          <w:rStyle w:val="Refdenotaalpie"/>
          <w:bCs/>
        </w:rPr>
        <w:footnoteReference w:id="1"/>
      </w:r>
    </w:p>
    <w:p w14:paraId="418448C7" w14:textId="77777777" w:rsidR="003525DB" w:rsidRDefault="003525DB">
      <w:pPr>
        <w:spacing w:line="360" w:lineRule="auto"/>
        <w:rPr>
          <w:b/>
          <w:sz w:val="28"/>
          <w:szCs w:val="28"/>
        </w:rPr>
      </w:pPr>
    </w:p>
    <w:p w14:paraId="0AE8D4BC" w14:textId="77777777" w:rsidR="003525DB" w:rsidRDefault="003525DB">
      <w:pPr>
        <w:spacing w:line="360" w:lineRule="auto"/>
        <w:ind w:left="708" w:hanging="708"/>
        <w:jc w:val="both"/>
        <w:rPr>
          <w:b/>
          <w:highlight w:val="lightGray"/>
        </w:rPr>
      </w:pPr>
    </w:p>
    <w:p w14:paraId="2135ECFE" w14:textId="77777777" w:rsidR="003525DB" w:rsidRDefault="00000000">
      <w:pPr>
        <w:spacing w:line="360" w:lineRule="auto"/>
        <w:jc w:val="both"/>
        <w:rPr>
          <w:b/>
        </w:rPr>
      </w:pPr>
      <w:r>
        <w:rPr>
          <w:b/>
        </w:rPr>
        <w:t>Resumen:</w:t>
      </w:r>
    </w:p>
    <w:p w14:paraId="2CD184B2" w14:textId="49A28519" w:rsidR="003525DB" w:rsidRDefault="00000000" w:rsidP="00907652">
      <w:pPr>
        <w:pBdr>
          <w:top w:val="nil"/>
          <w:left w:val="nil"/>
          <w:bottom w:val="nil"/>
          <w:right w:val="nil"/>
          <w:between w:val="nil"/>
        </w:pBdr>
        <w:shd w:val="clear" w:color="auto" w:fill="FFFFFF"/>
        <w:spacing w:line="276" w:lineRule="auto"/>
        <w:jc w:val="both"/>
        <w:rPr>
          <w:color w:val="000000"/>
        </w:rPr>
      </w:pPr>
      <w:r>
        <w:rPr>
          <w:color w:val="000000"/>
        </w:rPr>
        <w:t>Debido al aumento de personas emprendedoras con iniciativas e ideas para iniciar un negocio propio que no tienen una cultura financiera, carecen de conocimiento en cuanto a fuentes de financiamiento, como manejar los créditos, entre otros, esta investigación</w:t>
      </w:r>
      <w:r w:rsidR="00907652">
        <w:rPr>
          <w:color w:val="000000"/>
        </w:rPr>
        <w:t xml:space="preserve"> tiene como objetivo</w:t>
      </w:r>
      <w:r>
        <w:rPr>
          <w:color w:val="000000"/>
        </w:rPr>
        <w:t>, el determinar por medio de una revisión documental, la existencia de una relación directa entre la inclusión financiera y la rentabilidad en la Pequeña y Mediana Empresa (PYME) en Honduras, utilizando para ello una metodología cualitativa de forma de investigación documental con enfoque descriptivo no experimental, enfatizándose en los resultados de los artículos que relacionan nuestras variables de estudio, y de una revisión de cincuenta y cuatro (54) documentos entre artículos, tesis y estudios, se determinó una relación directa entre la rentabilidad de la PYME con el nivel de inclusión financiera a la que tienen acceso sus dueños, al tener acceso a los diferentes instrumentos financieros, así como el tener conocimiento del uso adecuado de estos, tienden a ser que sus pequeñas empresas sean más rentables, de igual manera, se evidenció que para Honduras no se encontraron artículos científicos que relacionen las variables de inclusión y rentabilidad financiera en la PYME, lo que posibilita hacer investigaciones futuras en el país.</w:t>
      </w:r>
    </w:p>
    <w:p w14:paraId="7CDC71E2" w14:textId="77777777" w:rsidR="003525DB" w:rsidRDefault="003525DB">
      <w:pPr>
        <w:pBdr>
          <w:top w:val="nil"/>
          <w:left w:val="nil"/>
          <w:bottom w:val="nil"/>
          <w:right w:val="nil"/>
          <w:between w:val="nil"/>
        </w:pBdr>
        <w:shd w:val="clear" w:color="auto" w:fill="FFFFFF"/>
        <w:spacing w:line="360" w:lineRule="auto"/>
        <w:jc w:val="both"/>
        <w:rPr>
          <w:color w:val="000000"/>
        </w:rPr>
      </w:pPr>
    </w:p>
    <w:p w14:paraId="3009E769" w14:textId="77777777" w:rsidR="003525DB" w:rsidRDefault="00000000">
      <w:pPr>
        <w:pBdr>
          <w:top w:val="nil"/>
          <w:left w:val="nil"/>
          <w:bottom w:val="nil"/>
          <w:right w:val="nil"/>
          <w:between w:val="nil"/>
        </w:pBdr>
        <w:shd w:val="clear" w:color="auto" w:fill="FFFFFF"/>
        <w:spacing w:line="360" w:lineRule="auto"/>
        <w:jc w:val="both"/>
        <w:rPr>
          <w:color w:val="000000"/>
        </w:rPr>
      </w:pPr>
      <w:r>
        <w:rPr>
          <w:b/>
          <w:color w:val="000000"/>
        </w:rPr>
        <w:t xml:space="preserve">Palabras clave: </w:t>
      </w:r>
      <w:r>
        <w:rPr>
          <w:color w:val="000000"/>
        </w:rPr>
        <w:t>Inclusión financiera, rentabilidad financiera, PYME y educación financiera.</w:t>
      </w:r>
    </w:p>
    <w:p w14:paraId="06FF67D0" w14:textId="77777777" w:rsidR="003525DB" w:rsidRDefault="003525DB">
      <w:pPr>
        <w:pBdr>
          <w:top w:val="nil"/>
          <w:left w:val="nil"/>
          <w:bottom w:val="nil"/>
          <w:right w:val="nil"/>
          <w:between w:val="nil"/>
        </w:pBdr>
        <w:shd w:val="clear" w:color="auto" w:fill="FFFFFF"/>
        <w:spacing w:line="360" w:lineRule="auto"/>
        <w:jc w:val="both"/>
      </w:pPr>
    </w:p>
    <w:p w14:paraId="0F3E40AD" w14:textId="0F88F217" w:rsidR="003525DB" w:rsidRPr="0037168D" w:rsidRDefault="00000000">
      <w:pPr>
        <w:pBdr>
          <w:top w:val="nil"/>
          <w:left w:val="nil"/>
          <w:bottom w:val="nil"/>
          <w:right w:val="nil"/>
          <w:between w:val="nil"/>
        </w:pBdr>
        <w:shd w:val="clear" w:color="auto" w:fill="FFFFFF"/>
        <w:spacing w:line="360" w:lineRule="auto"/>
        <w:jc w:val="both"/>
        <w:rPr>
          <w:color w:val="000000"/>
          <w:lang w:val="en-US"/>
        </w:rPr>
      </w:pPr>
      <w:r w:rsidRPr="0037168D">
        <w:rPr>
          <w:b/>
          <w:color w:val="000000"/>
          <w:lang w:val="en-US"/>
        </w:rPr>
        <w:t>JEL: G530, G210, G230</w:t>
      </w:r>
    </w:p>
    <w:p w14:paraId="6243E378" w14:textId="77777777" w:rsidR="003525DB" w:rsidRPr="0037168D" w:rsidRDefault="003525DB">
      <w:pPr>
        <w:spacing w:line="360" w:lineRule="auto"/>
        <w:jc w:val="both"/>
        <w:rPr>
          <w:lang w:val="en-US"/>
        </w:rPr>
      </w:pPr>
    </w:p>
    <w:p w14:paraId="617A5C64" w14:textId="77777777" w:rsidR="003525DB" w:rsidRPr="0037168D" w:rsidRDefault="003525DB">
      <w:pPr>
        <w:spacing w:line="360" w:lineRule="auto"/>
        <w:jc w:val="both"/>
        <w:rPr>
          <w:lang w:val="en-US"/>
        </w:rPr>
      </w:pPr>
    </w:p>
    <w:p w14:paraId="2E375473" w14:textId="77777777" w:rsidR="003525DB" w:rsidRPr="0037168D" w:rsidRDefault="003525DB">
      <w:pPr>
        <w:spacing w:line="360" w:lineRule="auto"/>
        <w:jc w:val="both"/>
        <w:rPr>
          <w:lang w:val="en-US"/>
        </w:rPr>
      </w:pPr>
    </w:p>
    <w:p w14:paraId="1BAF9DBD" w14:textId="77777777" w:rsidR="003525DB" w:rsidRPr="0037168D" w:rsidRDefault="003525DB">
      <w:pPr>
        <w:spacing w:line="360" w:lineRule="auto"/>
        <w:rPr>
          <w:b/>
          <w:sz w:val="28"/>
          <w:szCs w:val="28"/>
          <w:lang w:val="en-US"/>
        </w:rPr>
      </w:pPr>
    </w:p>
    <w:p w14:paraId="3B432CF5" w14:textId="77777777" w:rsidR="003525DB" w:rsidRPr="0037168D" w:rsidRDefault="00000000" w:rsidP="00907652">
      <w:pPr>
        <w:spacing w:line="276" w:lineRule="auto"/>
        <w:jc w:val="center"/>
        <w:rPr>
          <w:b/>
          <w:sz w:val="28"/>
          <w:szCs w:val="28"/>
          <w:lang w:val="en-US"/>
        </w:rPr>
        <w:sectPr w:rsidR="003525DB" w:rsidRPr="0037168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20"/>
        </w:sectPr>
      </w:pPr>
      <w:r w:rsidRPr="0037168D">
        <w:rPr>
          <w:b/>
          <w:sz w:val="28"/>
          <w:szCs w:val="28"/>
          <w:lang w:val="en-US"/>
        </w:rPr>
        <w:lastRenderedPageBreak/>
        <w:t>Relationship between financial inclusion and profitability of small and medium enterprises in Honduras</w:t>
      </w:r>
    </w:p>
    <w:p w14:paraId="1B208FEB" w14:textId="77777777" w:rsidR="003525DB" w:rsidRPr="0037168D" w:rsidRDefault="003525DB">
      <w:pPr>
        <w:spacing w:line="360" w:lineRule="auto"/>
        <w:rPr>
          <w:b/>
          <w:sz w:val="28"/>
          <w:szCs w:val="28"/>
          <w:lang w:val="en-US"/>
        </w:rPr>
      </w:pPr>
    </w:p>
    <w:p w14:paraId="4B3DE6D6" w14:textId="77777777" w:rsidR="003525DB" w:rsidRPr="0037168D" w:rsidRDefault="00000000">
      <w:pPr>
        <w:spacing w:line="360" w:lineRule="auto"/>
        <w:rPr>
          <w:b/>
          <w:lang w:val="en-US"/>
        </w:rPr>
      </w:pPr>
      <w:r w:rsidRPr="0037168D">
        <w:rPr>
          <w:b/>
          <w:lang w:val="en-US"/>
        </w:rPr>
        <w:t xml:space="preserve">DOI: </w:t>
      </w:r>
    </w:p>
    <w:p w14:paraId="20CD8FFD" w14:textId="77777777" w:rsidR="003525DB" w:rsidRPr="0037168D" w:rsidRDefault="00000000">
      <w:pPr>
        <w:spacing w:line="360" w:lineRule="auto"/>
        <w:rPr>
          <w:lang w:val="en-US"/>
        </w:rPr>
      </w:pPr>
      <w:r w:rsidRPr="0037168D">
        <w:rPr>
          <w:lang w:val="en-US"/>
        </w:rPr>
        <w:t>Received: 28/01/2025                                                                                Accepted:06/04/2025</w:t>
      </w:r>
    </w:p>
    <w:p w14:paraId="09199423" w14:textId="46ED5BB9" w:rsidR="003525DB" w:rsidRPr="00907652" w:rsidRDefault="00000000" w:rsidP="00907652">
      <w:pPr>
        <w:spacing w:line="360" w:lineRule="auto"/>
        <w:jc w:val="right"/>
        <w:rPr>
          <w:bCs/>
          <w:lang w:val="en-US"/>
        </w:rPr>
      </w:pPr>
      <w:r w:rsidRPr="00907652">
        <w:rPr>
          <w:bCs/>
          <w:lang w:val="en-US"/>
        </w:rPr>
        <w:t>Gerardo Hernández Ochoa</w:t>
      </w:r>
      <w:r w:rsidR="00907652">
        <w:rPr>
          <w:rStyle w:val="Refdenotaalpie"/>
          <w:bCs/>
          <w:lang w:val="en-US"/>
        </w:rPr>
        <w:footnoteReference w:id="2"/>
      </w:r>
    </w:p>
    <w:p w14:paraId="3554B12C" w14:textId="77777777" w:rsidR="003525DB" w:rsidRPr="0037168D" w:rsidRDefault="003525DB">
      <w:pPr>
        <w:spacing w:line="360" w:lineRule="auto"/>
        <w:rPr>
          <w:b/>
          <w:sz w:val="28"/>
          <w:szCs w:val="28"/>
          <w:lang w:val="en-US"/>
        </w:rPr>
      </w:pPr>
    </w:p>
    <w:p w14:paraId="0D1DB024" w14:textId="77777777" w:rsidR="003525DB" w:rsidRPr="0037168D" w:rsidRDefault="00000000">
      <w:pPr>
        <w:spacing w:line="360" w:lineRule="auto"/>
        <w:jc w:val="both"/>
        <w:rPr>
          <w:b/>
          <w:lang w:val="en-US"/>
        </w:rPr>
      </w:pPr>
      <w:r w:rsidRPr="0037168D">
        <w:rPr>
          <w:b/>
          <w:highlight w:val="white"/>
          <w:lang w:val="en-US"/>
        </w:rPr>
        <w:t>Abstract:</w:t>
      </w:r>
    </w:p>
    <w:p w14:paraId="46FB0FAC" w14:textId="77777777" w:rsidR="003525DB" w:rsidRPr="0037168D" w:rsidRDefault="00000000">
      <w:pPr>
        <w:spacing w:line="360" w:lineRule="auto"/>
        <w:jc w:val="both"/>
        <w:rPr>
          <w:color w:val="000000"/>
          <w:lang w:val="en-US"/>
        </w:rPr>
      </w:pPr>
      <w:r w:rsidRPr="0037168D">
        <w:rPr>
          <w:color w:val="000000"/>
          <w:lang w:val="en-US"/>
        </w:rPr>
        <w:t>Due to the increase of entrepreneurs with initiatives and ideas to start their own business who do not have a financial culture, lack of knowledge about sources of financing, how to manage credit, among others, the objective of this research is to determine through a documentary review, the existence of a direct relationship between financial inclusion and profitability in Small and Medium Enterprises (SMEs) in Honduras, using a qualitative methodology of documentary research with a descriptive non-experimental approach, emphasizing the results of the articles that relate our study variables, and from a review of fifty-four (54) documents including articles, theses and studies, a direct relationship was determined between the profitability of the SME with the level of financial inclusion to which their owners have access, having access to different financial instruments, as well as having knowledge of the proper use of these, tend to be that their small businesses are more profitable, likewise, it was evidenced that for Honduras no scientific articles were found that relate the variables of financial inclusion and profitability in the SME, which makes it possible to do future research in the country.</w:t>
      </w:r>
    </w:p>
    <w:p w14:paraId="289514F9" w14:textId="77777777" w:rsidR="003525DB" w:rsidRPr="0037168D" w:rsidRDefault="003525DB">
      <w:pPr>
        <w:spacing w:line="360" w:lineRule="auto"/>
        <w:jc w:val="both"/>
        <w:rPr>
          <w:lang w:val="en-US"/>
        </w:rPr>
      </w:pPr>
    </w:p>
    <w:p w14:paraId="7A5265FA" w14:textId="77777777" w:rsidR="003525DB" w:rsidRPr="0037168D" w:rsidRDefault="00000000">
      <w:pPr>
        <w:pBdr>
          <w:top w:val="nil"/>
          <w:left w:val="nil"/>
          <w:bottom w:val="nil"/>
          <w:right w:val="nil"/>
          <w:between w:val="nil"/>
        </w:pBdr>
        <w:shd w:val="clear" w:color="auto" w:fill="FFFFFF"/>
        <w:spacing w:line="360" w:lineRule="auto"/>
        <w:jc w:val="both"/>
        <w:rPr>
          <w:color w:val="000000"/>
          <w:lang w:val="en-US"/>
        </w:rPr>
      </w:pPr>
      <w:r w:rsidRPr="0037168D">
        <w:rPr>
          <w:b/>
          <w:color w:val="000000"/>
          <w:lang w:val="en-US"/>
        </w:rPr>
        <w:t xml:space="preserve">Key words: </w:t>
      </w:r>
      <w:r w:rsidRPr="0037168D">
        <w:rPr>
          <w:color w:val="000000"/>
          <w:lang w:val="en-US"/>
        </w:rPr>
        <w:t>Financial inclusion, financial profitability, SMEs and financial education.</w:t>
      </w:r>
    </w:p>
    <w:p w14:paraId="461F19A3" w14:textId="77777777" w:rsidR="003525DB" w:rsidRPr="0037168D" w:rsidRDefault="003525DB">
      <w:pPr>
        <w:pBdr>
          <w:top w:val="nil"/>
          <w:left w:val="nil"/>
          <w:bottom w:val="nil"/>
          <w:right w:val="nil"/>
          <w:between w:val="nil"/>
        </w:pBdr>
        <w:shd w:val="clear" w:color="auto" w:fill="FFFFFF"/>
        <w:spacing w:line="360" w:lineRule="auto"/>
        <w:jc w:val="both"/>
        <w:rPr>
          <w:lang w:val="en-US"/>
        </w:rPr>
      </w:pPr>
    </w:p>
    <w:p w14:paraId="322758C2" w14:textId="1CFD3D41" w:rsidR="003525DB" w:rsidRPr="0037168D" w:rsidRDefault="00000000">
      <w:pPr>
        <w:pBdr>
          <w:top w:val="nil"/>
          <w:left w:val="nil"/>
          <w:bottom w:val="nil"/>
          <w:right w:val="nil"/>
          <w:between w:val="nil"/>
        </w:pBdr>
        <w:shd w:val="clear" w:color="auto" w:fill="FFFFFF"/>
        <w:spacing w:line="360" w:lineRule="auto"/>
        <w:jc w:val="both"/>
        <w:rPr>
          <w:color w:val="000000"/>
          <w:lang w:val="en-US"/>
        </w:rPr>
      </w:pPr>
      <w:r w:rsidRPr="0037168D">
        <w:rPr>
          <w:b/>
          <w:color w:val="000000"/>
          <w:lang w:val="en-US"/>
        </w:rPr>
        <w:t>JEL: G530, G210, G230.</w:t>
      </w:r>
    </w:p>
    <w:p w14:paraId="2A84DC73" w14:textId="77777777" w:rsidR="003525DB" w:rsidRPr="0037168D" w:rsidRDefault="003525DB">
      <w:pPr>
        <w:spacing w:line="360" w:lineRule="auto"/>
        <w:jc w:val="center"/>
        <w:rPr>
          <w:b/>
          <w:i/>
          <w:lang w:val="en-US"/>
        </w:rPr>
      </w:pPr>
    </w:p>
    <w:p w14:paraId="4609F6AD" w14:textId="77777777" w:rsidR="003525DB" w:rsidRPr="0037168D" w:rsidRDefault="003525DB">
      <w:pPr>
        <w:spacing w:line="360" w:lineRule="auto"/>
        <w:jc w:val="center"/>
        <w:rPr>
          <w:b/>
          <w:i/>
          <w:lang w:val="en-US"/>
        </w:rPr>
      </w:pPr>
    </w:p>
    <w:p w14:paraId="07492EF5" w14:textId="77777777" w:rsidR="003525DB" w:rsidRPr="0037168D" w:rsidRDefault="003525DB">
      <w:pPr>
        <w:spacing w:line="360" w:lineRule="auto"/>
        <w:jc w:val="center"/>
        <w:rPr>
          <w:b/>
          <w:i/>
          <w:lang w:val="en-US"/>
        </w:rPr>
      </w:pPr>
    </w:p>
    <w:p w14:paraId="1D9B13E5" w14:textId="77777777" w:rsidR="003525DB" w:rsidRPr="0037168D" w:rsidRDefault="003525DB">
      <w:pPr>
        <w:pBdr>
          <w:top w:val="nil"/>
          <w:left w:val="nil"/>
          <w:bottom w:val="nil"/>
          <w:right w:val="nil"/>
          <w:between w:val="nil"/>
        </w:pBdr>
        <w:shd w:val="clear" w:color="auto" w:fill="FFFFFF"/>
        <w:spacing w:line="360" w:lineRule="auto"/>
        <w:jc w:val="both"/>
        <w:rPr>
          <w:b/>
          <w:i/>
          <w:lang w:val="en-US"/>
        </w:rPr>
      </w:pPr>
    </w:p>
    <w:p w14:paraId="6156F615" w14:textId="77777777" w:rsidR="003525DB" w:rsidRPr="0037168D" w:rsidRDefault="003525DB">
      <w:pPr>
        <w:pBdr>
          <w:top w:val="nil"/>
          <w:left w:val="nil"/>
          <w:bottom w:val="nil"/>
          <w:right w:val="nil"/>
          <w:between w:val="nil"/>
        </w:pBdr>
        <w:shd w:val="clear" w:color="auto" w:fill="FFFFFF"/>
        <w:spacing w:line="360" w:lineRule="auto"/>
        <w:jc w:val="both"/>
        <w:rPr>
          <w:b/>
          <w:i/>
          <w:lang w:val="en-US"/>
        </w:rPr>
      </w:pPr>
    </w:p>
    <w:p w14:paraId="315DFA20" w14:textId="77777777" w:rsidR="003525DB" w:rsidRDefault="00000000">
      <w:pPr>
        <w:numPr>
          <w:ilvl w:val="0"/>
          <w:numId w:val="1"/>
        </w:numPr>
        <w:pBdr>
          <w:top w:val="nil"/>
          <w:left w:val="nil"/>
          <w:bottom w:val="nil"/>
          <w:right w:val="nil"/>
          <w:between w:val="nil"/>
        </w:pBdr>
        <w:shd w:val="clear" w:color="auto" w:fill="FFFFFF"/>
        <w:spacing w:line="360" w:lineRule="auto"/>
        <w:jc w:val="both"/>
        <w:rPr>
          <w:b/>
          <w:color w:val="000000"/>
        </w:rPr>
      </w:pPr>
      <w:r>
        <w:rPr>
          <w:b/>
        </w:rPr>
        <w:lastRenderedPageBreak/>
        <w:t xml:space="preserve">Introducción </w:t>
      </w:r>
    </w:p>
    <w:p w14:paraId="7D5172AA" w14:textId="77777777" w:rsidR="003525DB" w:rsidRDefault="00000000" w:rsidP="00830B44">
      <w:pPr>
        <w:spacing w:line="276" w:lineRule="auto"/>
        <w:jc w:val="both"/>
      </w:pPr>
      <w:r>
        <w:t>A fin de dar una orientación sobre la presente investigación, se describe que la inclusión financiera de acuerdo con el Banco de la República de Colombia (2014), es un fenómeno que consiste en la incorporación de los servicios financieros a las actividades económicas diarias, de todos los miembros de cualquier comunidad, lo que implica que individuos, empresas, hogares, puedan tener acceso a cuentas bancarias, créditos, ahorros, seguros, sistemas de pagos y pensiones, así como educación financiera, entre otros, es decir, poder disponer de productos con entidades financieras formales según (Narváez, Parra, &amp; Álvarez, 2020), en este sentido, esta investigación va orientada a la inclusión financiera en el sector de los Seguros específicamente.</w:t>
      </w:r>
    </w:p>
    <w:p w14:paraId="38A8EA2E" w14:textId="77777777" w:rsidR="003525DB" w:rsidRDefault="003525DB" w:rsidP="00830B44">
      <w:pPr>
        <w:spacing w:line="276" w:lineRule="auto"/>
        <w:jc w:val="both"/>
      </w:pPr>
    </w:p>
    <w:p w14:paraId="432CBB74" w14:textId="77777777" w:rsidR="003525DB" w:rsidRDefault="00000000" w:rsidP="00830B44">
      <w:pPr>
        <w:spacing w:line="276" w:lineRule="auto"/>
        <w:jc w:val="both"/>
      </w:pPr>
      <w:r>
        <w:t>En un mundo globalizado, la apertura de negocios pequeños que ingresan en la esfera macroeconómica se ha incrementado, son muchos los individuos con iniciativas e ideas para iniciar un negocio propio que no tienen una cultura financiera carecen de conocimiento en cuanto al ahorro, fuentes de financiamiento, como manejar los créditos, entre otros. Por ello es importante que exista una adecuada educación financiera que les permita hacer que su dinero trabaje para obtener rentabilidad, que pueda capitalizarla en favor de su negocio y a la vez diversificarlo en beneficio de los consumidores y el suyo propio. (Aguilar, Larrea, Romero, Arizpe, &amp; Galeana, 2022).</w:t>
      </w:r>
    </w:p>
    <w:p w14:paraId="26203BB1" w14:textId="77777777" w:rsidR="003525DB" w:rsidRDefault="003525DB" w:rsidP="00830B44">
      <w:pPr>
        <w:spacing w:line="276" w:lineRule="auto"/>
        <w:jc w:val="both"/>
      </w:pPr>
    </w:p>
    <w:p w14:paraId="3D9EB404" w14:textId="794B445F" w:rsidR="003525DB" w:rsidRDefault="00000000" w:rsidP="00830B44">
      <w:pPr>
        <w:spacing w:line="276" w:lineRule="auto"/>
        <w:jc w:val="both"/>
      </w:pPr>
      <w:r>
        <w:t xml:space="preserve">En el plano internacional, Roa (2013) menciona que organismos como el Fondo Monetario Internacional (FMI) y el Banco Mundial </w:t>
      </w:r>
      <w:r w:rsidR="00C15D5A">
        <w:t xml:space="preserve">(BM) </w:t>
      </w:r>
      <w:r>
        <w:t>han realizado enormes esfuerzos en el diseño y aplicación de encuestas en distintos países que permiten establecer comparaciones entre las distintas regiones, como se expondrá más adelante.</w:t>
      </w:r>
    </w:p>
    <w:p w14:paraId="0C6CD892" w14:textId="77777777" w:rsidR="003525DB" w:rsidRDefault="003525DB" w:rsidP="00830B44">
      <w:pPr>
        <w:spacing w:line="276" w:lineRule="auto"/>
        <w:jc w:val="both"/>
      </w:pPr>
    </w:p>
    <w:p w14:paraId="46BD07B8" w14:textId="77777777" w:rsidR="003525DB" w:rsidRDefault="00000000" w:rsidP="00830B44">
      <w:pPr>
        <w:spacing w:line="276" w:lineRule="auto"/>
        <w:jc w:val="both"/>
      </w:pPr>
      <w:r>
        <w:t xml:space="preserve">De igual manera, a nivel internacional, la educación financiera ha sido reconocida como un factor para reducir la exclusión social y desarrollar el sistema financiero (Connolly y </w:t>
      </w:r>
      <w:proofErr w:type="spellStart"/>
      <w:r>
        <w:t>Hajaj</w:t>
      </w:r>
      <w:proofErr w:type="spellEnd"/>
      <w:r>
        <w:t>, 2001), la misma toma un papel importante tanto para los países desarrollados como para aquellos en vías de desarrollo. A pesar de que los primeros cuenten con un mercado financiero maduro, donde la población posee una mayor educación, se observa que los consumidores desconocen cómo diversificar el riesgo y no invierten en aquellas alternativas que les permitirían obtener un mayor rendimiento (Lusardi, 2008).</w:t>
      </w:r>
    </w:p>
    <w:p w14:paraId="5CDDFDE6" w14:textId="77777777" w:rsidR="003525DB" w:rsidRDefault="003525DB">
      <w:pPr>
        <w:spacing w:line="360" w:lineRule="auto"/>
        <w:jc w:val="both"/>
      </w:pPr>
    </w:p>
    <w:p w14:paraId="4B625B83" w14:textId="31C63DA7" w:rsidR="003525DB" w:rsidRDefault="00000000" w:rsidP="00830B44">
      <w:pPr>
        <w:spacing w:line="276" w:lineRule="auto"/>
        <w:jc w:val="both"/>
      </w:pPr>
      <w:r>
        <w:t>Por ejemplo, en Japón, un estudio realizado por la universidad de Osaka reveló que 71% de los encuestados carecía de conocimientos sobre bonos y acciones, acerca de los productos financieros en general (57%) y sobre seguros y pensiones (29 %). Asimismo, en Australia 37% de los individuos que tenían inversiones no comprendía que su valor podía fluctuar, y aunque 67 % indicó entender el concepto de interés compuesto, cuando se le pidió resolver un problema utilizándolo, solo 28% demostró tener un buen nivel de comprensión (Lusardi y Mitchell, 2011).</w:t>
      </w:r>
    </w:p>
    <w:p w14:paraId="175D8D34" w14:textId="77777777" w:rsidR="003525DB" w:rsidRDefault="003525DB" w:rsidP="00830B44">
      <w:pPr>
        <w:spacing w:line="276" w:lineRule="auto"/>
        <w:jc w:val="both"/>
      </w:pPr>
    </w:p>
    <w:p w14:paraId="7AFECAD8" w14:textId="77777777" w:rsidR="003525DB" w:rsidRDefault="00000000" w:rsidP="00830B44">
      <w:pPr>
        <w:spacing w:line="276" w:lineRule="auto"/>
        <w:jc w:val="both"/>
      </w:pPr>
      <w:r>
        <w:t xml:space="preserve">Según lo menciona Roa (2013), en su artículo “Inclusión financiera en América Latina y el Caribe: acceso, uso y calidad”, el problema del acceso a servicios financieros para los sectores </w:t>
      </w:r>
      <w:r>
        <w:lastRenderedPageBreak/>
        <w:t>más desfavorecidos de la población no es nuevo. Desde finales del siglo XVIII y principios del XIX empiezan a surgir entidades financieras de naturaleza social con capacidad para fomentar el acceso financiero a personas de bajos recursos, así como a pequeños y medianos empresarios, tanto en el ahorro como en el crédito.</w:t>
      </w:r>
    </w:p>
    <w:p w14:paraId="1BB8C133" w14:textId="77777777" w:rsidR="003525DB" w:rsidRDefault="003525DB" w:rsidP="00830B44">
      <w:pPr>
        <w:spacing w:line="276" w:lineRule="auto"/>
        <w:jc w:val="both"/>
      </w:pPr>
    </w:p>
    <w:p w14:paraId="19D87767" w14:textId="545AFC11" w:rsidR="003525DB" w:rsidRDefault="00000000" w:rsidP="00830B44">
      <w:pPr>
        <w:spacing w:line="276" w:lineRule="auto"/>
        <w:jc w:val="both"/>
      </w:pPr>
      <w:r>
        <w:t>El sistema financiero hondureño se encuentra conformado por 6.872 instituciones reguladas y no reguladas, asimismo, el sistema cuenta con cinco entes reguladores, tres del sector regulado y dos del sector no regulado, aunque de estos solo uno está en operación. Las instituciones financieras que concentran el mayor tamaño en activos dentro del sistema financiero son: los bancos de primer piso (90,1%), las cooperativas (4,1%) y las aseguradoras (2,8%). Los principales productos financieros ofertados por el sistema financiero a la población hondureña son de ahorro, créditos, seguros, remesas y pensiones. La oferta hondureña de productos financieros crediticios específica para los productores rurales contempla: agropecuario, capital de trabajo, mejora de vivienda o local, de temporada, microcrédito, crédito para inversión y proyectos para el sector rural o agropecuario (Valenzuela &amp; Cruz, 2017).</w:t>
      </w:r>
    </w:p>
    <w:p w14:paraId="206974E6" w14:textId="77777777" w:rsidR="003525DB" w:rsidRDefault="003525DB" w:rsidP="00830B44">
      <w:pPr>
        <w:spacing w:line="276" w:lineRule="auto"/>
        <w:jc w:val="both"/>
      </w:pPr>
    </w:p>
    <w:p w14:paraId="08B6642A" w14:textId="5990940D" w:rsidR="003525DB" w:rsidRDefault="00000000" w:rsidP="00830B44">
      <w:pPr>
        <w:spacing w:line="276" w:lineRule="auto"/>
        <w:jc w:val="both"/>
      </w:pPr>
      <w:r>
        <w:t>La educación financiera se hace cada vez más relevante dado el número creciente de productos que ofrecen los mercados financieros y su efecto en el desarrollo económico de los estados y la calidad de vida de sus ciudadanos, esto de conformidad con lo publicado en Formación Universitaria. (Villada, López-Lezama, &amp; Muñoz-Galeano, 2017), concluyendo que las finanzas personales cobran cada vez mayor importancia en el mundo moderno dado que los estados están descargando en sus ciudadanos la responsabilidad de aspectos tan importantes como la pensión y gastos de salud y educación, entre otros. De forma simultánea, los mercados financieros ofrecen un número creciente de productos altamente sofisticados que obligan a los individuos a estudiarlos y comprender su rentabilidad y riesgos inherentes.</w:t>
      </w:r>
    </w:p>
    <w:p w14:paraId="582D531B" w14:textId="77777777" w:rsidR="003525DB" w:rsidRDefault="003525DB" w:rsidP="00830B44">
      <w:pPr>
        <w:spacing w:line="276" w:lineRule="auto"/>
        <w:jc w:val="both"/>
      </w:pPr>
    </w:p>
    <w:p w14:paraId="5DDA2752" w14:textId="77777777" w:rsidR="003525DB" w:rsidRDefault="00000000" w:rsidP="00830B44">
      <w:pPr>
        <w:spacing w:line="276" w:lineRule="auto"/>
        <w:jc w:val="both"/>
      </w:pPr>
      <w:r>
        <w:t>La exclusión financiera es un concepto relativo y multifacético, al igual que lo es la pobreza, y su importancia puede evaluarse en tres dimensiones, una dimensión social como integración de los individuos -y territorios- en una sociedad con necesidad de ser más financiada; una dimensión económica, que permite el desarrollo total de las capacidades del individuo –y del territorio- y su contribución a la creación de valor, evitando ineficiencias del sistema, esto según (Fernández-</w:t>
      </w:r>
      <w:proofErr w:type="spellStart"/>
      <w:r>
        <w:t>Olit</w:t>
      </w:r>
      <w:proofErr w:type="spellEnd"/>
      <w:r>
        <w:t>, 2020).</w:t>
      </w:r>
    </w:p>
    <w:p w14:paraId="15235FF1" w14:textId="77777777" w:rsidR="003525DB" w:rsidRDefault="003525DB" w:rsidP="00830B44">
      <w:pPr>
        <w:spacing w:line="276" w:lineRule="auto"/>
        <w:jc w:val="both"/>
      </w:pPr>
    </w:p>
    <w:p w14:paraId="09244A4A" w14:textId="77777777" w:rsidR="003525DB" w:rsidRDefault="00000000" w:rsidP="00830B44">
      <w:pPr>
        <w:spacing w:line="276" w:lineRule="auto"/>
        <w:jc w:val="both"/>
      </w:pPr>
      <w:r>
        <w:t>La educación financiera ayuda a los individuos a optimizar su toma de decisiones para obtener el mayor beneficio posible y alcanzar satisfactoriamente sus metas, Hernández Rivera en su artículo concluyó que es muy importante analizar los programas educativos, restructurarlos para que los Jóvenes Universitarios puedan adquirir los conocimientos, así como destrezas necesarias en materia de Educación Financiera, con el fin de mejorar la toma de decisiones financieras, y recomienda que se examinen las políticas públicas, con el propósito de incrementar el acceso a los materiales y herramientas financieras disponibles mediante las nuevas tecnologías, para conseguir mejores resultados, por lo que el incremento de la Educación Financiera en la población traería consigo un beneficio personal, y a la economía en general. (Rivera &amp; Rojas, 2020).</w:t>
      </w:r>
    </w:p>
    <w:p w14:paraId="5042B307" w14:textId="77777777" w:rsidR="003525DB" w:rsidRDefault="003525DB" w:rsidP="00830B44">
      <w:pPr>
        <w:spacing w:line="276" w:lineRule="auto"/>
        <w:jc w:val="both"/>
      </w:pPr>
    </w:p>
    <w:p w14:paraId="29DAEB96" w14:textId="77777777" w:rsidR="003525DB" w:rsidRDefault="00000000" w:rsidP="00830B44">
      <w:pPr>
        <w:spacing w:line="276" w:lineRule="auto"/>
        <w:jc w:val="both"/>
      </w:pPr>
      <w:r>
        <w:lastRenderedPageBreak/>
        <w:t>Por otra parte, Luis Zuleta (2016) hace referencia que, para las PYME, es importante impulsar una estrategia que diferencie aquellas empresas que ya tienen suficiente acceso al crédito de manera recurrente, de aquellas empresas que tienen acceso ocasional y de las que no lo tienen. Esta diferenciación es consistente con la necesidad de obtener mejor información disponible y debe servir para segmentar los programas de educación financiera de las PYME y los instrumentos y productos financieros; por otra parte, recomienda que la Educación Financiera de la PYME debería tener un carácter público privado que permita multiplicar su efecto. (Zuleta, 2016).</w:t>
      </w:r>
    </w:p>
    <w:p w14:paraId="4E8C9D60" w14:textId="77777777" w:rsidR="003525DB" w:rsidRDefault="003525DB" w:rsidP="00830B44">
      <w:pPr>
        <w:spacing w:line="276" w:lineRule="auto"/>
        <w:jc w:val="both"/>
      </w:pPr>
    </w:p>
    <w:p w14:paraId="037E5B72" w14:textId="77777777" w:rsidR="003525DB" w:rsidRDefault="00000000" w:rsidP="00830B44">
      <w:pPr>
        <w:spacing w:line="276" w:lineRule="auto"/>
        <w:jc w:val="both"/>
      </w:pPr>
      <w:r>
        <w:t>Dicho lo anterior, el presente artículo se enfatiza en demostrar si existe una relación directa entre la Inclusión Financiera con la Rentabilidad en la PYME en Honduras, es decir, a mayor conocimiento y acceso a instrumentos financieros en la PYME, mayor es la rentabilidad que presentan estas en Honduras.</w:t>
      </w:r>
    </w:p>
    <w:p w14:paraId="72A84D1C" w14:textId="77777777" w:rsidR="00830B44" w:rsidRDefault="00830B44" w:rsidP="00830B44">
      <w:pPr>
        <w:spacing w:line="276" w:lineRule="auto"/>
        <w:jc w:val="both"/>
        <w:rPr>
          <w:color w:val="000000"/>
        </w:rPr>
      </w:pPr>
    </w:p>
    <w:p w14:paraId="2186E9A6" w14:textId="77777777" w:rsidR="003525DB" w:rsidRDefault="00000000" w:rsidP="0002795E">
      <w:pPr>
        <w:numPr>
          <w:ilvl w:val="0"/>
          <w:numId w:val="1"/>
        </w:numPr>
        <w:pBdr>
          <w:top w:val="nil"/>
          <w:left w:val="nil"/>
          <w:bottom w:val="nil"/>
          <w:right w:val="nil"/>
          <w:between w:val="nil"/>
        </w:pBdr>
        <w:shd w:val="clear" w:color="auto" w:fill="FFFFFF"/>
        <w:spacing w:line="276" w:lineRule="auto"/>
        <w:jc w:val="both"/>
        <w:rPr>
          <w:b/>
        </w:rPr>
      </w:pPr>
      <w:r>
        <w:rPr>
          <w:b/>
        </w:rPr>
        <w:t>Marco Conceptual</w:t>
      </w:r>
    </w:p>
    <w:p w14:paraId="439E9FAD" w14:textId="77777777" w:rsidR="0002795E" w:rsidRDefault="0002795E" w:rsidP="0002795E">
      <w:pPr>
        <w:pBdr>
          <w:top w:val="nil"/>
          <w:left w:val="nil"/>
          <w:bottom w:val="nil"/>
          <w:right w:val="nil"/>
          <w:between w:val="nil"/>
        </w:pBdr>
        <w:shd w:val="clear" w:color="auto" w:fill="FFFFFF"/>
        <w:spacing w:line="276" w:lineRule="auto"/>
        <w:ind w:left="720"/>
        <w:jc w:val="both"/>
        <w:rPr>
          <w:b/>
        </w:rPr>
      </w:pPr>
    </w:p>
    <w:p w14:paraId="4FBE58D9" w14:textId="77777777" w:rsidR="003525DB" w:rsidRDefault="00000000" w:rsidP="0002795E">
      <w:pPr>
        <w:pBdr>
          <w:top w:val="nil"/>
          <w:left w:val="nil"/>
          <w:bottom w:val="nil"/>
          <w:right w:val="nil"/>
          <w:between w:val="nil"/>
        </w:pBdr>
        <w:shd w:val="clear" w:color="auto" w:fill="FFFFFF"/>
        <w:spacing w:line="276" w:lineRule="auto"/>
        <w:jc w:val="both"/>
        <w:rPr>
          <w:b/>
          <w:color w:val="000000"/>
        </w:rPr>
      </w:pPr>
      <w:r>
        <w:rPr>
          <w:b/>
        </w:rPr>
        <w:t xml:space="preserve">II.I. </w:t>
      </w:r>
      <w:r>
        <w:rPr>
          <w:b/>
          <w:color w:val="000000"/>
        </w:rPr>
        <w:t>Inclusión Financiera para la PYME desde la perspectiva latinoamericana.</w:t>
      </w:r>
    </w:p>
    <w:p w14:paraId="0ED987BD" w14:textId="77777777" w:rsidR="0002795E" w:rsidRDefault="0002795E" w:rsidP="0002795E">
      <w:pPr>
        <w:pBdr>
          <w:top w:val="nil"/>
          <w:left w:val="nil"/>
          <w:bottom w:val="nil"/>
          <w:right w:val="nil"/>
          <w:between w:val="nil"/>
        </w:pBdr>
        <w:shd w:val="clear" w:color="auto" w:fill="FFFFFF"/>
        <w:spacing w:line="276" w:lineRule="auto"/>
        <w:jc w:val="both"/>
        <w:rPr>
          <w:b/>
          <w:color w:val="000000"/>
        </w:rPr>
      </w:pPr>
    </w:p>
    <w:p w14:paraId="54636AFA" w14:textId="77777777" w:rsidR="003525DB" w:rsidRDefault="00000000" w:rsidP="0002795E">
      <w:pPr>
        <w:spacing w:line="276" w:lineRule="auto"/>
        <w:jc w:val="both"/>
      </w:pPr>
      <w:r>
        <w:t>Según Anaya, Buelvas y Romero (2010), en su artículo “Pobreza e inclusión financiera en el municipio de Montería, Colombia”, hace referencia que desde el punto de vista econométrico la inclusión financiera de un hogar es una variable cualitativa o categórica que puede tomar un número limitado de valores para diferentes grados de ésta, y en tal caso se utilizaría un modelo econométrico de respuesta múltiple, bajo el enfoque de variables latentes (Gujarati y Porter, 2010).</w:t>
      </w:r>
    </w:p>
    <w:p w14:paraId="050BD31D" w14:textId="77777777" w:rsidR="003525DB" w:rsidRDefault="003525DB">
      <w:pPr>
        <w:spacing w:line="360" w:lineRule="auto"/>
        <w:jc w:val="both"/>
      </w:pPr>
    </w:p>
    <w:p w14:paraId="31AEAE4B" w14:textId="77777777" w:rsidR="003525DB" w:rsidRDefault="00000000" w:rsidP="0002795E">
      <w:pPr>
        <w:spacing w:line="276" w:lineRule="auto"/>
        <w:jc w:val="both"/>
      </w:pPr>
      <w:r>
        <w:t>En México, de acuerdo con la Comisión Nacional Bancaria y de Valores (CNBV): “la inclusión financiera comprende el acceso y uso de servicios financieros bajo una regulación apropiada que garantice esquemas de protección al consumidor y promueva la educación financiera para mejorar las capacidades financieras de todos los segmentos de la población” (CNBV, 2012b: 10).</w:t>
      </w:r>
    </w:p>
    <w:p w14:paraId="156133EA" w14:textId="77777777" w:rsidR="003525DB" w:rsidRDefault="003525DB" w:rsidP="0002795E">
      <w:pPr>
        <w:spacing w:line="276" w:lineRule="auto"/>
        <w:jc w:val="both"/>
      </w:pPr>
    </w:p>
    <w:p w14:paraId="4D11421E" w14:textId="77777777" w:rsidR="003525DB" w:rsidRDefault="00000000" w:rsidP="0002795E">
      <w:pPr>
        <w:spacing w:line="276" w:lineRule="auto"/>
        <w:jc w:val="both"/>
      </w:pPr>
      <w:r>
        <w:t>El concepto de inclusión financiera es utilizado en estos países de manera generalizada para el mercado de las personas naturales, esto según Luis Alberto Zuleta (2016), aduciendo que se han realizado estudios recientes sobre el estado de la inclusión en este contexto, sobre los estudios internacionales, también se han hecho énfasis en este mercado. En este contexto, se da gran importancia a la posibilidad de que grupos sociales vulnerables e individuos obtengan el acceso al sistema financiero formal (Zuleta, 2016).</w:t>
      </w:r>
    </w:p>
    <w:p w14:paraId="2A2255E3" w14:textId="77777777" w:rsidR="003525DB" w:rsidRDefault="003525DB">
      <w:pPr>
        <w:spacing w:line="360" w:lineRule="auto"/>
        <w:jc w:val="both"/>
      </w:pPr>
    </w:p>
    <w:p w14:paraId="0245A8E8" w14:textId="77777777" w:rsidR="003525DB" w:rsidRDefault="00000000" w:rsidP="0002795E">
      <w:pPr>
        <w:spacing w:line="276" w:lineRule="auto"/>
        <w:jc w:val="both"/>
      </w:pPr>
      <w:r>
        <w:t xml:space="preserve">En el ámbito hondureño, la inclusión financiera se refiere a tener acceso a productos financieros útiles y asequibles que satisfagan las necesidades de los usuarios, (transacciones, pagos, ahorros, créditos y seguros), prestados de manera responsable y sostenible según la Comisión Nacional de Bancos y Seguros (CNBS, 2021); de igual manera, en el Plan de Gobierno para Refundar Honduras 2022-2026 de la Presidenta electa Iris Xiomara Castro de Zelaya, a fin de </w:t>
      </w:r>
      <w:r>
        <w:lastRenderedPageBreak/>
        <w:t>mitigar la migración de hondureños hacia los Estados Unidos de América, se contempla implementar medidas al sistema financiero, a través de la CNBS para que toda la población y especialmente la migrante hondureña -sin importar su estatus migratorio- pueda acceder a coberturas como: seguros de vida, créditos sociales, de vivienda, fondos de pensiones y otros beneficios iguales a los de cualquier ciudadano en Honduras.</w:t>
      </w:r>
    </w:p>
    <w:p w14:paraId="456D6BAD" w14:textId="1E611894" w:rsidR="003525DB" w:rsidRDefault="00000000" w:rsidP="0002795E">
      <w:pPr>
        <w:spacing w:line="276" w:lineRule="auto"/>
        <w:jc w:val="both"/>
      </w:pPr>
      <w:r>
        <w:t xml:space="preserve">Por otra parte, considerar la educación financiera como el único factor que puede mejorar el bienestar financiero de los microempresarios es erróneo, deben considerarse también factores relacionados a los ofertantes del crédito como es el difícil acceso a los servicios financieros, la discriminación en el otorgamiento del crédito, el alto costo del dinero, la cantidad de requisitos necesarios para el otorgamiento de </w:t>
      </w:r>
      <w:r w:rsidR="00BC6E64">
        <w:t>estos</w:t>
      </w:r>
      <w:r>
        <w:t xml:space="preserve"> (Domínguez, 2017 y Sánchez et al, 2021).</w:t>
      </w:r>
    </w:p>
    <w:p w14:paraId="11C8A9D0" w14:textId="77777777" w:rsidR="003525DB" w:rsidRDefault="003525DB" w:rsidP="0002795E">
      <w:pPr>
        <w:spacing w:line="276" w:lineRule="auto"/>
        <w:jc w:val="both"/>
      </w:pPr>
    </w:p>
    <w:p w14:paraId="5A275280" w14:textId="77777777" w:rsidR="003525DB" w:rsidRDefault="00000000" w:rsidP="0002795E">
      <w:pPr>
        <w:spacing w:line="276" w:lineRule="auto"/>
        <w:jc w:val="both"/>
      </w:pPr>
      <w:r>
        <w:t>Según el Banco de Desarrollo de América Latina (2020), menciona que las instituciones financieras han masificado los créditos tradicionales como productos de primera opción para la PYME, con la finalidad de aumentar el número de productos financieros, mientras que Medina (2015) indica que una efectiva educación financiera permite a los emprendedores obtener un financiamiento óptimo en sus negocios y tendrán la posibilidad de escoger la mejor alternativa de financiamiento de acuerdo a su actividad económica. Por lo cual se puede concluir que la educación financiera es un elemento fundamental que deben contener las políticas públicas y de crecimiento en los países en desarrollo (Díaz, Barrios y Silva 2020).</w:t>
      </w:r>
    </w:p>
    <w:p w14:paraId="05BC863D" w14:textId="77777777" w:rsidR="00BC6E64" w:rsidRDefault="00BC6E64" w:rsidP="0002795E">
      <w:pPr>
        <w:spacing w:line="276" w:lineRule="auto"/>
        <w:jc w:val="both"/>
      </w:pPr>
    </w:p>
    <w:p w14:paraId="3194CC59" w14:textId="77777777" w:rsidR="003525DB" w:rsidRDefault="00000000" w:rsidP="00BC6E64">
      <w:pPr>
        <w:pBdr>
          <w:top w:val="nil"/>
          <w:left w:val="nil"/>
          <w:bottom w:val="nil"/>
          <w:right w:val="nil"/>
          <w:between w:val="nil"/>
        </w:pBdr>
        <w:shd w:val="clear" w:color="auto" w:fill="FFFFFF"/>
        <w:spacing w:line="276" w:lineRule="auto"/>
        <w:jc w:val="both"/>
        <w:rPr>
          <w:b/>
          <w:color w:val="000000"/>
        </w:rPr>
      </w:pPr>
      <w:hyperlink r:id="rId15">
        <w:r>
          <w:rPr>
            <w:b/>
          </w:rPr>
          <w:t>II.II</w:t>
        </w:r>
      </w:hyperlink>
      <w:r>
        <w:rPr>
          <w:b/>
        </w:rPr>
        <w:t xml:space="preserve">. </w:t>
      </w:r>
      <w:r>
        <w:rPr>
          <w:b/>
          <w:color w:val="000000"/>
        </w:rPr>
        <w:t>Rentabilidad Financiera en la PYME</w:t>
      </w:r>
    </w:p>
    <w:p w14:paraId="59B81279" w14:textId="77777777" w:rsidR="00BC6E64" w:rsidRDefault="00BC6E64" w:rsidP="00BC6E64">
      <w:pPr>
        <w:pBdr>
          <w:top w:val="nil"/>
          <w:left w:val="nil"/>
          <w:bottom w:val="nil"/>
          <w:right w:val="nil"/>
          <w:between w:val="nil"/>
        </w:pBdr>
        <w:shd w:val="clear" w:color="auto" w:fill="FFFFFF"/>
        <w:spacing w:line="276" w:lineRule="auto"/>
        <w:jc w:val="both"/>
        <w:rPr>
          <w:b/>
          <w:color w:val="000000"/>
        </w:rPr>
      </w:pPr>
    </w:p>
    <w:p w14:paraId="34702FA0" w14:textId="05A98B0B" w:rsidR="003525DB" w:rsidRDefault="00000000" w:rsidP="00BC6E64">
      <w:pPr>
        <w:spacing w:line="276" w:lineRule="auto"/>
        <w:jc w:val="both"/>
      </w:pPr>
      <w:r>
        <w:t>La rentabilidad es una medida relativa de las utilidades, es la comparación de las utilidades netas obtenidas en la empresa con las ventas (rentabilidad o margen de utilidad neta sobre ventas), con la inversión realizada (rentabilidad económica o del negocio), y con los fondos aportados por sus propietarios (rentabilidad financiera o del propietario) (Morillo, 2001).</w:t>
      </w:r>
    </w:p>
    <w:p w14:paraId="4EDFD6EE" w14:textId="77777777" w:rsidR="003525DB" w:rsidRDefault="00000000" w:rsidP="00BC6E64">
      <w:pPr>
        <w:spacing w:line="276" w:lineRule="auto"/>
        <w:jc w:val="both"/>
      </w:pPr>
      <w:r>
        <w:t>Igualmente, los indicadores de rentabilidad, lucrativita o rendimiento pretenden medir la efectividad con que la administración controla los costos y gastos operacionales para convertir las ventas en utilidades (Ortiz, 2004). En suma, la rentabilidad empresarial no es más que una de las formas a través de las cuales se puede expresar la efectividad organizacional o, lo que es lo mismo, un desempeño organizacional excelente (Chacón, 2007).</w:t>
      </w:r>
    </w:p>
    <w:p w14:paraId="7C453F13" w14:textId="77777777" w:rsidR="003525DB" w:rsidRDefault="003525DB" w:rsidP="00BC6E64">
      <w:pPr>
        <w:spacing w:line="276" w:lineRule="auto"/>
        <w:jc w:val="both"/>
      </w:pPr>
    </w:p>
    <w:p w14:paraId="0791BB36" w14:textId="5447EBBA" w:rsidR="003525DB" w:rsidRDefault="00000000" w:rsidP="00BC6E64">
      <w:pPr>
        <w:spacing w:line="276" w:lineRule="auto"/>
        <w:jc w:val="both"/>
      </w:pPr>
      <w:r>
        <w:t>Asimismo, el factor más importante para establecer la salud integral de la empresa y su competitividad es su rentabilidad y de ahí la importancia de su análisis derivado de las dimensiones y proporciones del Balance y el Estado de Resultados obteniéndose la rentabilidad operativa a través del cálculo de las razones de rentabilidad económica y financiera que evalúan la capacidad de la empresa para generar utilidades, que comparada con sus costos asociados, ofrece la capacidad de creación de valor permitiendo establecer un diagnóstico y valoración de la empresa en el corto plazo y visualizar el éxito a futuro de ella (Flores, Gómez, Briones, &amp; Cervantes, 2013).</w:t>
      </w:r>
    </w:p>
    <w:p w14:paraId="7CC7AB1B" w14:textId="77777777" w:rsidR="003525DB" w:rsidRDefault="003525DB" w:rsidP="00BC6E64">
      <w:pPr>
        <w:spacing w:line="276" w:lineRule="auto"/>
        <w:jc w:val="both"/>
      </w:pPr>
    </w:p>
    <w:p w14:paraId="12FC1642" w14:textId="77777777" w:rsidR="003525DB" w:rsidRDefault="00000000" w:rsidP="00BC6E64">
      <w:pPr>
        <w:spacing w:line="276" w:lineRule="auto"/>
        <w:jc w:val="both"/>
      </w:pPr>
      <w:r>
        <w:t xml:space="preserve">De igual manera, Luis Valdez, Elva Ramos y Edith Borboa (2019), mencionan que la globalización de los mercados y la introducción de las nuevas tecnologías en los nuevos modelos de negocios, las grandes empresas, y más las Pymes, requieren de estrategias que las </w:t>
      </w:r>
      <w:r>
        <w:lastRenderedPageBreak/>
        <w:t>impulsen hacia el fortalecimiento de su competitividad y el aumento de la rentabilidad. Para ello, las Pymes están incorporando acciones que se derivan de las capacidades dinámicas, entre las que se destacan la orientación hacia el emprendimiento, el aprendizaje organizacional, la inversión en Investigación y Desarrollo (I+D), y las estrategias de mercado (Valdez-Juárez, Ramos-Escobar, &amp; Borboa-Álvarez, 2019).</w:t>
      </w:r>
    </w:p>
    <w:p w14:paraId="6BEEA7BC" w14:textId="77777777" w:rsidR="003525DB" w:rsidRDefault="003525DB" w:rsidP="00BC6E64">
      <w:pPr>
        <w:pBdr>
          <w:top w:val="nil"/>
          <w:left w:val="nil"/>
          <w:bottom w:val="nil"/>
          <w:right w:val="nil"/>
          <w:between w:val="nil"/>
        </w:pBdr>
        <w:shd w:val="clear" w:color="auto" w:fill="FFFFFF"/>
        <w:spacing w:line="276" w:lineRule="auto"/>
        <w:jc w:val="both"/>
        <w:rPr>
          <w:color w:val="000000"/>
        </w:rPr>
      </w:pPr>
    </w:p>
    <w:p w14:paraId="3DA5B542" w14:textId="77777777" w:rsidR="003525DB" w:rsidRDefault="00000000" w:rsidP="00BC6E64">
      <w:pPr>
        <w:numPr>
          <w:ilvl w:val="0"/>
          <w:numId w:val="1"/>
        </w:numPr>
        <w:pBdr>
          <w:top w:val="nil"/>
          <w:left w:val="nil"/>
          <w:bottom w:val="nil"/>
          <w:right w:val="nil"/>
          <w:between w:val="nil"/>
        </w:pBdr>
        <w:shd w:val="clear" w:color="auto" w:fill="FFFFFF"/>
        <w:spacing w:line="276" w:lineRule="auto"/>
        <w:jc w:val="both"/>
        <w:rPr>
          <w:b/>
        </w:rPr>
      </w:pPr>
      <w:r>
        <w:rPr>
          <w:b/>
        </w:rPr>
        <w:t>Metodología</w:t>
      </w:r>
    </w:p>
    <w:p w14:paraId="210626C8" w14:textId="77777777" w:rsidR="00BC6E64" w:rsidRDefault="00BC6E64" w:rsidP="00BC6E64">
      <w:pPr>
        <w:pBdr>
          <w:top w:val="nil"/>
          <w:left w:val="nil"/>
          <w:bottom w:val="nil"/>
          <w:right w:val="nil"/>
          <w:between w:val="nil"/>
        </w:pBdr>
        <w:shd w:val="clear" w:color="auto" w:fill="FFFFFF"/>
        <w:spacing w:line="276" w:lineRule="auto"/>
        <w:ind w:left="720"/>
        <w:jc w:val="both"/>
        <w:rPr>
          <w:b/>
        </w:rPr>
      </w:pPr>
    </w:p>
    <w:p w14:paraId="1927766D" w14:textId="54947F05" w:rsidR="003525DB" w:rsidRDefault="00000000" w:rsidP="00BC6E64">
      <w:pPr>
        <w:spacing w:line="276" w:lineRule="auto"/>
        <w:jc w:val="both"/>
      </w:pPr>
      <w:r>
        <w:t xml:space="preserve">De conformidad con Gustavo A. </w:t>
      </w:r>
      <w:proofErr w:type="spellStart"/>
      <w:r>
        <w:t>Slafer</w:t>
      </w:r>
      <w:proofErr w:type="spellEnd"/>
      <w:r>
        <w:t xml:space="preserve"> (2009), la sección de Materiales y Métodos se focaliza en explicar cómo se ha estudiado el problema planteado en la introducción, aduciendo que es necesaria en los artículos científicos porque permite que las experiencias puedan ser repetidas independientemente, lo que en sí constituye un requisito genérico de las publicaciones científicas, de igual manera es importante porque esta descripción permite establecer límites a la universalidad/especificidad de las conclusiones alcanzadas, lo que a su vez está relacionado con el grado de </w:t>
      </w:r>
      <w:proofErr w:type="spellStart"/>
      <w:r>
        <w:t>extrapolabilidad</w:t>
      </w:r>
      <w:proofErr w:type="spellEnd"/>
      <w:r>
        <w:t xml:space="preserve"> del conocimiento transmitido a otras condiciones (</w:t>
      </w:r>
      <w:proofErr w:type="spellStart"/>
      <w:r>
        <w:t>Slafer</w:t>
      </w:r>
      <w:proofErr w:type="spellEnd"/>
      <w:r>
        <w:t>, 2009).</w:t>
      </w:r>
    </w:p>
    <w:p w14:paraId="19F6F816" w14:textId="77777777" w:rsidR="003525DB" w:rsidRDefault="003525DB" w:rsidP="00BC6E64">
      <w:pPr>
        <w:spacing w:line="276" w:lineRule="auto"/>
        <w:jc w:val="both"/>
      </w:pPr>
    </w:p>
    <w:p w14:paraId="32981838" w14:textId="5FD9CC77" w:rsidR="003525DB" w:rsidRDefault="00000000" w:rsidP="00BC6E64">
      <w:pPr>
        <w:spacing w:line="276" w:lineRule="auto"/>
        <w:jc w:val="both"/>
      </w:pPr>
      <w:r>
        <w:t>Para llevar a cabo este proceso se realizó una revisión sistemática de documentos con el fin de llevar a cabo un análisis compuesto que según (</w:t>
      </w:r>
      <w:proofErr w:type="spellStart"/>
      <w:r>
        <w:t>Crossan</w:t>
      </w:r>
      <w:proofErr w:type="spellEnd"/>
      <w:r>
        <w:t xml:space="preserve"> &amp; </w:t>
      </w:r>
      <w:proofErr w:type="spellStart"/>
      <w:r>
        <w:t>Apaydin</w:t>
      </w:r>
      <w:proofErr w:type="spellEnd"/>
      <w:r>
        <w:t xml:space="preserve">, 2010) como lo cita Mario Sosa, Ángel Acevedo e Irma </w:t>
      </w:r>
      <w:proofErr w:type="spellStart"/>
      <w:r>
        <w:t>Verges</w:t>
      </w:r>
      <w:proofErr w:type="spellEnd"/>
      <w:r>
        <w:t xml:space="preserve"> (2020) se realiza en tres partes: recopilación de datos, análisis de datos y síntesis, de carácter documental, empleando la técnica bibliográfica, es decir, consulta de documentos impresos y electrónicos (SOSA, ACEVEDO, &amp; VERGES, 2020).</w:t>
      </w:r>
    </w:p>
    <w:p w14:paraId="0FE5E6FA" w14:textId="77777777" w:rsidR="003525DB" w:rsidRDefault="003525DB" w:rsidP="00BC6E64">
      <w:pPr>
        <w:spacing w:line="276" w:lineRule="auto"/>
        <w:jc w:val="both"/>
      </w:pPr>
    </w:p>
    <w:p w14:paraId="01DAB501" w14:textId="4185CF6A" w:rsidR="003525DB" w:rsidRDefault="00000000" w:rsidP="00BC6E64">
      <w:pPr>
        <w:spacing w:line="276" w:lineRule="auto"/>
        <w:jc w:val="both"/>
      </w:pPr>
      <w:r>
        <w:t xml:space="preserve">La metodología para la realización de este artículo es cualitativa de forma de investigación documental, que según </w:t>
      </w:r>
      <w:proofErr w:type="spellStart"/>
      <w:r>
        <w:t>Maricelly</w:t>
      </w:r>
      <w:proofErr w:type="spellEnd"/>
      <w:r>
        <w:t xml:space="preserve"> Gómez, Catalina Galeano y </w:t>
      </w:r>
      <w:proofErr w:type="spellStart"/>
      <w:r>
        <w:t>Dumar</w:t>
      </w:r>
      <w:proofErr w:type="spellEnd"/>
      <w:r>
        <w:t xml:space="preserve"> Jaramillo (2015) es una manera posible de hacer investigación en ciencias sociales, de igual manera conlleva un enfoque descriptivo no experimental, que según Marcelo Rojas (2015), es una manera de exhibir el conocimiento de la realidad tal como se presenta en una situación de espacio y de tiempo dado, describiendo el fenómeno sin introducir modificaciones (</w:t>
      </w:r>
      <w:proofErr w:type="spellStart"/>
      <w:r>
        <w:t>Cairampoma</w:t>
      </w:r>
      <w:proofErr w:type="spellEnd"/>
      <w:r>
        <w:t>, 2015).</w:t>
      </w:r>
    </w:p>
    <w:p w14:paraId="3E5E92F9" w14:textId="77777777" w:rsidR="003525DB" w:rsidRDefault="003525DB" w:rsidP="00BC6E64">
      <w:pPr>
        <w:spacing w:line="276" w:lineRule="auto"/>
        <w:jc w:val="both"/>
      </w:pPr>
    </w:p>
    <w:p w14:paraId="4D39295C" w14:textId="60970095" w:rsidR="003525DB" w:rsidRDefault="00000000" w:rsidP="00BC6E64">
      <w:pPr>
        <w:spacing w:line="276" w:lineRule="auto"/>
        <w:jc w:val="both"/>
      </w:pPr>
      <w:r>
        <w:t xml:space="preserve">Se procedió con una revisión de diversos documentos electrónicos en las plataformas SciELO, </w:t>
      </w:r>
      <w:proofErr w:type="spellStart"/>
      <w:r>
        <w:t>Scopus</w:t>
      </w:r>
      <w:proofErr w:type="spellEnd"/>
      <w:r>
        <w:t xml:space="preserve"> y bibliotecas virtuales de diversas Universidades de América </w:t>
      </w:r>
      <w:r w:rsidR="00BC6E64">
        <w:t>L</w:t>
      </w:r>
      <w:r>
        <w:t xml:space="preserve">atina, utilizando las palabras claves de: “Inclusión Financiera”, “Rentabilidad Empresarial” y “PYME” en artículos científicos, tesis y documentos oficiales de </w:t>
      </w:r>
      <w:r w:rsidR="00BC6E64">
        <w:t>o</w:t>
      </w:r>
      <w:r>
        <w:t xml:space="preserve">rganizaciones </w:t>
      </w:r>
      <w:r w:rsidR="00BC6E64">
        <w:t>i</w:t>
      </w:r>
      <w:r>
        <w:t>nternacionales como ser la Comisión Económica para América Latina y el Caribe (CEPAL) del período 2012-2022, realizando una síntesis de la información con un enfoque empírico e interpretativo de los hallazgos, enfatizándose en los resultados de los artículos que relacionan nuestras variables de estudio (Gómez et al 2015).</w:t>
      </w:r>
    </w:p>
    <w:p w14:paraId="5358CCCE" w14:textId="77777777" w:rsidR="003525DB" w:rsidRDefault="003525DB">
      <w:pPr>
        <w:pBdr>
          <w:top w:val="nil"/>
          <w:left w:val="nil"/>
          <w:bottom w:val="nil"/>
          <w:right w:val="nil"/>
          <w:between w:val="nil"/>
        </w:pBdr>
        <w:shd w:val="clear" w:color="auto" w:fill="FFFFFF"/>
        <w:spacing w:line="360" w:lineRule="auto"/>
        <w:jc w:val="both"/>
        <w:rPr>
          <w:b/>
          <w:color w:val="000000"/>
        </w:rPr>
      </w:pPr>
    </w:p>
    <w:p w14:paraId="10B5DFEB" w14:textId="77777777" w:rsidR="003525DB" w:rsidRDefault="00000000" w:rsidP="002D2761">
      <w:pPr>
        <w:numPr>
          <w:ilvl w:val="0"/>
          <w:numId w:val="1"/>
        </w:numPr>
        <w:pBdr>
          <w:top w:val="nil"/>
          <w:left w:val="nil"/>
          <w:bottom w:val="nil"/>
          <w:right w:val="nil"/>
          <w:between w:val="nil"/>
        </w:pBdr>
        <w:shd w:val="clear" w:color="auto" w:fill="FFFFFF"/>
        <w:spacing w:line="276" w:lineRule="auto"/>
        <w:jc w:val="both"/>
        <w:rPr>
          <w:b/>
        </w:rPr>
      </w:pPr>
      <w:r>
        <w:rPr>
          <w:b/>
        </w:rPr>
        <w:t>Discusión De Resultados</w:t>
      </w:r>
    </w:p>
    <w:p w14:paraId="011FF6CC" w14:textId="77777777" w:rsidR="002D2761" w:rsidRDefault="002D2761" w:rsidP="002D2761">
      <w:pPr>
        <w:pBdr>
          <w:top w:val="nil"/>
          <w:left w:val="nil"/>
          <w:bottom w:val="nil"/>
          <w:right w:val="nil"/>
          <w:between w:val="nil"/>
        </w:pBdr>
        <w:shd w:val="clear" w:color="auto" w:fill="FFFFFF"/>
        <w:spacing w:line="276" w:lineRule="auto"/>
        <w:ind w:left="720"/>
        <w:jc w:val="both"/>
        <w:rPr>
          <w:b/>
        </w:rPr>
      </w:pPr>
    </w:p>
    <w:p w14:paraId="2C5BEF1F" w14:textId="7EAAFBB8" w:rsidR="003525DB" w:rsidRDefault="00000000" w:rsidP="002D2761">
      <w:pPr>
        <w:spacing w:line="276" w:lineRule="auto"/>
        <w:jc w:val="both"/>
      </w:pPr>
      <w:r>
        <w:t xml:space="preserve">En el presente artículo de investigación se encontraron cincuenta y cuatro (54) documentos relacionados a la palabra clave de inclusión financiera y rentabilidad en la PYME, que en su </w:t>
      </w:r>
      <w:r>
        <w:lastRenderedPageBreak/>
        <w:t xml:space="preserve">mayoría son artículos científicos con 79.63%, seguido del 14.81% de </w:t>
      </w:r>
      <w:r w:rsidR="002D2761">
        <w:t>e</w:t>
      </w:r>
      <w:r>
        <w:t xml:space="preserve">studios y en menor cantidad de tesis y capítulos de libro; por otra parte, del total de archivos recopilados, el 54.26% se obtuvieron en la plataforma de SciELO, seguido por un 9.26% en </w:t>
      </w:r>
      <w:proofErr w:type="spellStart"/>
      <w:r>
        <w:t>Scopus</w:t>
      </w:r>
      <w:proofErr w:type="spellEnd"/>
      <w:r>
        <w:t>, el resto de documentos obtenidos de otras plataformas como se muestra en la siguiente tabla:</w:t>
      </w:r>
    </w:p>
    <w:p w14:paraId="5DF14D4E" w14:textId="77777777" w:rsidR="003525DB" w:rsidRDefault="003525DB">
      <w:pPr>
        <w:spacing w:line="360" w:lineRule="auto"/>
        <w:ind w:firstLine="720"/>
        <w:jc w:val="both"/>
      </w:pPr>
    </w:p>
    <w:p w14:paraId="0D2F8966" w14:textId="77777777" w:rsidR="003525DB" w:rsidRDefault="00000000">
      <w:pPr>
        <w:spacing w:line="360" w:lineRule="auto"/>
        <w:jc w:val="both"/>
        <w:rPr>
          <w:b/>
          <w:i/>
          <w:color w:val="000000"/>
        </w:rPr>
      </w:pPr>
      <w:r>
        <w:rPr>
          <w:b/>
          <w:color w:val="000000"/>
        </w:rPr>
        <w:t>Tabla 1</w:t>
      </w:r>
      <w:r>
        <w:rPr>
          <w:b/>
          <w:i/>
          <w:color w:val="000000"/>
        </w:rPr>
        <w:t xml:space="preserve">. </w:t>
      </w:r>
    </w:p>
    <w:p w14:paraId="73B6BC48" w14:textId="77777777" w:rsidR="003525DB" w:rsidRDefault="00000000">
      <w:pPr>
        <w:spacing w:line="360" w:lineRule="auto"/>
        <w:jc w:val="both"/>
        <w:rPr>
          <w:i/>
          <w:color w:val="000000"/>
        </w:rPr>
      </w:pPr>
      <w:r>
        <w:rPr>
          <w:i/>
          <w:color w:val="000000"/>
        </w:rPr>
        <w:t>Distribución de documentos encontrados en las diversas plataformas y tipo de documento.</w:t>
      </w:r>
    </w:p>
    <w:tbl>
      <w:tblPr>
        <w:tblStyle w:val="a"/>
        <w:tblW w:w="9053" w:type="dxa"/>
        <w:jc w:val="center"/>
        <w:tblInd w:w="0" w:type="dxa"/>
        <w:tblLayout w:type="fixed"/>
        <w:tblLook w:val="0400" w:firstRow="0" w:lastRow="0" w:firstColumn="0" w:lastColumn="0" w:noHBand="0" w:noVBand="1"/>
      </w:tblPr>
      <w:tblGrid>
        <w:gridCol w:w="2023"/>
        <w:gridCol w:w="1474"/>
        <w:gridCol w:w="1031"/>
        <w:gridCol w:w="1178"/>
        <w:gridCol w:w="1201"/>
        <w:gridCol w:w="1008"/>
        <w:gridCol w:w="1138"/>
      </w:tblGrid>
      <w:tr w:rsidR="003525DB" w14:paraId="72B05318" w14:textId="77777777">
        <w:trPr>
          <w:trHeight w:val="205"/>
          <w:jc w:val="center"/>
        </w:trPr>
        <w:tc>
          <w:tcPr>
            <w:tcW w:w="2023" w:type="dxa"/>
            <w:tcBorders>
              <w:top w:val="single" w:sz="4" w:space="0" w:color="000000"/>
              <w:bottom w:val="single" w:sz="4" w:space="0" w:color="000000"/>
            </w:tcBorders>
            <w:shd w:val="clear" w:color="auto" w:fill="auto"/>
            <w:vAlign w:val="center"/>
          </w:tcPr>
          <w:p w14:paraId="44621922" w14:textId="77777777" w:rsidR="003525DB" w:rsidRDefault="00000000">
            <w:pPr>
              <w:spacing w:line="360" w:lineRule="auto"/>
              <w:jc w:val="center"/>
              <w:rPr>
                <w:b/>
                <w:color w:val="000000"/>
              </w:rPr>
            </w:pPr>
            <w:r>
              <w:rPr>
                <w:b/>
                <w:color w:val="000000"/>
              </w:rPr>
              <w:t>Plataforma</w:t>
            </w:r>
          </w:p>
        </w:tc>
        <w:tc>
          <w:tcPr>
            <w:tcW w:w="1474" w:type="dxa"/>
            <w:tcBorders>
              <w:top w:val="single" w:sz="4" w:space="0" w:color="000000"/>
              <w:bottom w:val="single" w:sz="4" w:space="0" w:color="000000"/>
            </w:tcBorders>
            <w:vAlign w:val="center"/>
          </w:tcPr>
          <w:p w14:paraId="026AF450" w14:textId="77777777" w:rsidR="003525DB" w:rsidRDefault="00000000">
            <w:pPr>
              <w:spacing w:line="360" w:lineRule="auto"/>
              <w:jc w:val="center"/>
              <w:rPr>
                <w:b/>
                <w:color w:val="000000"/>
              </w:rPr>
            </w:pPr>
            <w:r>
              <w:rPr>
                <w:b/>
                <w:color w:val="000000"/>
              </w:rPr>
              <w:t>Artículo científico</w:t>
            </w:r>
          </w:p>
        </w:tc>
        <w:tc>
          <w:tcPr>
            <w:tcW w:w="1031" w:type="dxa"/>
            <w:tcBorders>
              <w:top w:val="single" w:sz="4" w:space="0" w:color="000000"/>
              <w:bottom w:val="single" w:sz="4" w:space="0" w:color="000000"/>
            </w:tcBorders>
            <w:vAlign w:val="center"/>
          </w:tcPr>
          <w:p w14:paraId="5C2B5510" w14:textId="77777777" w:rsidR="003525DB" w:rsidRDefault="00000000">
            <w:pPr>
              <w:spacing w:line="360" w:lineRule="auto"/>
              <w:jc w:val="center"/>
              <w:rPr>
                <w:b/>
                <w:color w:val="000000"/>
              </w:rPr>
            </w:pPr>
            <w:r>
              <w:rPr>
                <w:b/>
                <w:color w:val="000000"/>
              </w:rPr>
              <w:t>Estudio</w:t>
            </w:r>
          </w:p>
        </w:tc>
        <w:tc>
          <w:tcPr>
            <w:tcW w:w="1178" w:type="dxa"/>
            <w:tcBorders>
              <w:top w:val="single" w:sz="4" w:space="0" w:color="000000"/>
              <w:bottom w:val="single" w:sz="4" w:space="0" w:color="000000"/>
            </w:tcBorders>
            <w:shd w:val="clear" w:color="auto" w:fill="auto"/>
            <w:vAlign w:val="center"/>
          </w:tcPr>
          <w:p w14:paraId="056B22E8" w14:textId="77777777" w:rsidR="003525DB" w:rsidRDefault="00000000">
            <w:pPr>
              <w:spacing w:line="360" w:lineRule="auto"/>
              <w:jc w:val="center"/>
              <w:rPr>
                <w:b/>
                <w:color w:val="000000"/>
              </w:rPr>
            </w:pPr>
            <w:r>
              <w:rPr>
                <w:b/>
                <w:color w:val="000000"/>
              </w:rPr>
              <w:t>Tesis</w:t>
            </w:r>
          </w:p>
        </w:tc>
        <w:tc>
          <w:tcPr>
            <w:tcW w:w="1201" w:type="dxa"/>
            <w:tcBorders>
              <w:top w:val="single" w:sz="4" w:space="0" w:color="000000"/>
              <w:bottom w:val="single" w:sz="4" w:space="0" w:color="000000"/>
            </w:tcBorders>
            <w:vAlign w:val="center"/>
          </w:tcPr>
          <w:p w14:paraId="7A26CB76" w14:textId="77777777" w:rsidR="003525DB" w:rsidRDefault="00000000">
            <w:pPr>
              <w:spacing w:line="360" w:lineRule="auto"/>
              <w:jc w:val="center"/>
              <w:rPr>
                <w:b/>
                <w:color w:val="000000"/>
              </w:rPr>
            </w:pPr>
            <w:r>
              <w:rPr>
                <w:b/>
                <w:color w:val="000000"/>
              </w:rPr>
              <w:t>Capítulo de libro</w:t>
            </w:r>
          </w:p>
        </w:tc>
        <w:tc>
          <w:tcPr>
            <w:tcW w:w="1008" w:type="dxa"/>
            <w:tcBorders>
              <w:top w:val="single" w:sz="4" w:space="0" w:color="000000"/>
              <w:bottom w:val="single" w:sz="4" w:space="0" w:color="000000"/>
            </w:tcBorders>
            <w:vAlign w:val="center"/>
          </w:tcPr>
          <w:p w14:paraId="3D585C03" w14:textId="77777777" w:rsidR="003525DB" w:rsidRDefault="00000000">
            <w:pPr>
              <w:spacing w:line="360" w:lineRule="auto"/>
              <w:jc w:val="center"/>
              <w:rPr>
                <w:b/>
                <w:color w:val="000000"/>
              </w:rPr>
            </w:pPr>
            <w:r>
              <w:rPr>
                <w:b/>
                <w:color w:val="000000"/>
              </w:rPr>
              <w:t>Total</w:t>
            </w:r>
          </w:p>
        </w:tc>
        <w:tc>
          <w:tcPr>
            <w:tcW w:w="1138" w:type="dxa"/>
            <w:tcBorders>
              <w:top w:val="single" w:sz="4" w:space="0" w:color="000000"/>
              <w:bottom w:val="single" w:sz="4" w:space="0" w:color="000000"/>
            </w:tcBorders>
            <w:vAlign w:val="center"/>
          </w:tcPr>
          <w:p w14:paraId="01CEB988" w14:textId="77777777" w:rsidR="003525DB" w:rsidRDefault="00000000">
            <w:pPr>
              <w:spacing w:line="360" w:lineRule="auto"/>
              <w:jc w:val="center"/>
              <w:rPr>
                <w:b/>
                <w:color w:val="000000"/>
              </w:rPr>
            </w:pPr>
            <w:r>
              <w:rPr>
                <w:b/>
                <w:color w:val="000000"/>
              </w:rPr>
              <w:t>Porcentaje</w:t>
            </w:r>
          </w:p>
        </w:tc>
      </w:tr>
      <w:tr w:rsidR="003525DB" w14:paraId="600370E7" w14:textId="77777777">
        <w:trPr>
          <w:trHeight w:val="205"/>
          <w:jc w:val="center"/>
        </w:trPr>
        <w:tc>
          <w:tcPr>
            <w:tcW w:w="2023" w:type="dxa"/>
            <w:tcBorders>
              <w:top w:val="single" w:sz="4" w:space="0" w:color="000000"/>
            </w:tcBorders>
            <w:shd w:val="clear" w:color="auto" w:fill="auto"/>
            <w:vAlign w:val="bottom"/>
          </w:tcPr>
          <w:p w14:paraId="7170C4DE" w14:textId="77777777" w:rsidR="003525DB" w:rsidRDefault="00000000">
            <w:pPr>
              <w:spacing w:line="360" w:lineRule="auto"/>
              <w:rPr>
                <w:color w:val="000000"/>
              </w:rPr>
            </w:pPr>
            <w:r>
              <w:rPr>
                <w:color w:val="000000"/>
              </w:rPr>
              <w:t>SciELO</w:t>
            </w:r>
          </w:p>
        </w:tc>
        <w:tc>
          <w:tcPr>
            <w:tcW w:w="1474" w:type="dxa"/>
            <w:tcBorders>
              <w:top w:val="single" w:sz="4" w:space="0" w:color="000000"/>
            </w:tcBorders>
            <w:vAlign w:val="bottom"/>
          </w:tcPr>
          <w:p w14:paraId="0E3D60E1" w14:textId="77777777" w:rsidR="003525DB" w:rsidRDefault="00000000">
            <w:pPr>
              <w:spacing w:line="360" w:lineRule="auto"/>
              <w:jc w:val="center"/>
              <w:rPr>
                <w:color w:val="000000"/>
              </w:rPr>
            </w:pPr>
            <w:r>
              <w:rPr>
                <w:color w:val="000000"/>
              </w:rPr>
              <w:t>27</w:t>
            </w:r>
          </w:p>
        </w:tc>
        <w:tc>
          <w:tcPr>
            <w:tcW w:w="1031" w:type="dxa"/>
            <w:tcBorders>
              <w:top w:val="single" w:sz="4" w:space="0" w:color="000000"/>
            </w:tcBorders>
            <w:vAlign w:val="bottom"/>
          </w:tcPr>
          <w:p w14:paraId="63BA3E53" w14:textId="77777777" w:rsidR="003525DB" w:rsidRDefault="00000000">
            <w:pPr>
              <w:spacing w:line="360" w:lineRule="auto"/>
              <w:jc w:val="center"/>
              <w:rPr>
                <w:color w:val="000000"/>
              </w:rPr>
            </w:pPr>
            <w:r>
              <w:rPr>
                <w:color w:val="000000"/>
              </w:rPr>
              <w:t>5</w:t>
            </w:r>
          </w:p>
        </w:tc>
        <w:tc>
          <w:tcPr>
            <w:tcW w:w="1178" w:type="dxa"/>
            <w:tcBorders>
              <w:top w:val="single" w:sz="4" w:space="0" w:color="000000"/>
            </w:tcBorders>
            <w:shd w:val="clear" w:color="auto" w:fill="auto"/>
            <w:vAlign w:val="bottom"/>
          </w:tcPr>
          <w:p w14:paraId="7AF5E4E5" w14:textId="77777777" w:rsidR="003525DB" w:rsidRDefault="00000000">
            <w:pPr>
              <w:spacing w:line="360" w:lineRule="auto"/>
              <w:jc w:val="center"/>
              <w:rPr>
                <w:color w:val="000000"/>
              </w:rPr>
            </w:pPr>
            <w:r>
              <w:rPr>
                <w:color w:val="000000"/>
              </w:rPr>
              <w:t>-</w:t>
            </w:r>
          </w:p>
        </w:tc>
        <w:tc>
          <w:tcPr>
            <w:tcW w:w="1201" w:type="dxa"/>
            <w:tcBorders>
              <w:top w:val="single" w:sz="4" w:space="0" w:color="000000"/>
            </w:tcBorders>
            <w:vAlign w:val="bottom"/>
          </w:tcPr>
          <w:p w14:paraId="465B10DD" w14:textId="77777777" w:rsidR="003525DB" w:rsidRDefault="00000000">
            <w:pPr>
              <w:spacing w:line="360" w:lineRule="auto"/>
              <w:jc w:val="center"/>
              <w:rPr>
                <w:color w:val="000000"/>
              </w:rPr>
            </w:pPr>
            <w:r>
              <w:rPr>
                <w:color w:val="000000"/>
              </w:rPr>
              <w:t>-</w:t>
            </w:r>
          </w:p>
        </w:tc>
        <w:tc>
          <w:tcPr>
            <w:tcW w:w="1008" w:type="dxa"/>
            <w:tcBorders>
              <w:top w:val="single" w:sz="4" w:space="0" w:color="000000"/>
            </w:tcBorders>
            <w:vAlign w:val="bottom"/>
          </w:tcPr>
          <w:p w14:paraId="2EA2C8E0" w14:textId="77777777" w:rsidR="003525DB" w:rsidRDefault="00000000">
            <w:pPr>
              <w:spacing w:line="360" w:lineRule="auto"/>
              <w:jc w:val="center"/>
              <w:rPr>
                <w:color w:val="000000"/>
              </w:rPr>
            </w:pPr>
            <w:r>
              <w:rPr>
                <w:color w:val="000000"/>
              </w:rPr>
              <w:t>32</w:t>
            </w:r>
          </w:p>
        </w:tc>
        <w:tc>
          <w:tcPr>
            <w:tcW w:w="1138" w:type="dxa"/>
            <w:tcBorders>
              <w:top w:val="single" w:sz="4" w:space="0" w:color="000000"/>
            </w:tcBorders>
            <w:vAlign w:val="bottom"/>
          </w:tcPr>
          <w:p w14:paraId="36010401" w14:textId="77777777" w:rsidR="003525DB" w:rsidRDefault="00000000">
            <w:pPr>
              <w:spacing w:line="360" w:lineRule="auto"/>
              <w:jc w:val="center"/>
              <w:rPr>
                <w:color w:val="000000"/>
              </w:rPr>
            </w:pPr>
            <w:r>
              <w:rPr>
                <w:color w:val="000000"/>
              </w:rPr>
              <w:t>59.26%</w:t>
            </w:r>
          </w:p>
        </w:tc>
      </w:tr>
      <w:tr w:rsidR="003525DB" w14:paraId="04CB3CAD" w14:textId="77777777">
        <w:trPr>
          <w:trHeight w:val="205"/>
          <w:jc w:val="center"/>
        </w:trPr>
        <w:tc>
          <w:tcPr>
            <w:tcW w:w="2023" w:type="dxa"/>
            <w:shd w:val="clear" w:color="auto" w:fill="auto"/>
            <w:vAlign w:val="bottom"/>
          </w:tcPr>
          <w:p w14:paraId="7F0F4640" w14:textId="77777777" w:rsidR="003525DB" w:rsidRDefault="00000000">
            <w:pPr>
              <w:spacing w:line="360" w:lineRule="auto"/>
              <w:rPr>
                <w:color w:val="000000"/>
              </w:rPr>
            </w:pPr>
            <w:proofErr w:type="spellStart"/>
            <w:r>
              <w:rPr>
                <w:color w:val="000000"/>
              </w:rPr>
              <w:t>Scopus</w:t>
            </w:r>
            <w:proofErr w:type="spellEnd"/>
          </w:p>
        </w:tc>
        <w:tc>
          <w:tcPr>
            <w:tcW w:w="1474" w:type="dxa"/>
            <w:vAlign w:val="bottom"/>
          </w:tcPr>
          <w:p w14:paraId="0806FA84" w14:textId="77777777" w:rsidR="003525DB" w:rsidRDefault="00000000">
            <w:pPr>
              <w:spacing w:line="360" w:lineRule="auto"/>
              <w:jc w:val="center"/>
              <w:rPr>
                <w:color w:val="000000"/>
              </w:rPr>
            </w:pPr>
            <w:r>
              <w:rPr>
                <w:color w:val="000000"/>
              </w:rPr>
              <w:t>5</w:t>
            </w:r>
          </w:p>
        </w:tc>
        <w:tc>
          <w:tcPr>
            <w:tcW w:w="1031" w:type="dxa"/>
            <w:vAlign w:val="bottom"/>
          </w:tcPr>
          <w:p w14:paraId="0EC557C6" w14:textId="77777777" w:rsidR="003525DB" w:rsidRDefault="00000000">
            <w:pPr>
              <w:spacing w:line="360" w:lineRule="auto"/>
              <w:jc w:val="center"/>
              <w:rPr>
                <w:color w:val="000000"/>
              </w:rPr>
            </w:pPr>
            <w:r>
              <w:rPr>
                <w:color w:val="000000"/>
              </w:rPr>
              <w:t>-</w:t>
            </w:r>
          </w:p>
        </w:tc>
        <w:tc>
          <w:tcPr>
            <w:tcW w:w="1178" w:type="dxa"/>
            <w:shd w:val="clear" w:color="auto" w:fill="auto"/>
            <w:vAlign w:val="bottom"/>
          </w:tcPr>
          <w:p w14:paraId="43C4F4C9" w14:textId="77777777" w:rsidR="003525DB" w:rsidRDefault="00000000">
            <w:pPr>
              <w:spacing w:line="360" w:lineRule="auto"/>
              <w:jc w:val="center"/>
              <w:rPr>
                <w:color w:val="000000"/>
              </w:rPr>
            </w:pPr>
            <w:r>
              <w:rPr>
                <w:color w:val="000000"/>
              </w:rPr>
              <w:t>-</w:t>
            </w:r>
          </w:p>
        </w:tc>
        <w:tc>
          <w:tcPr>
            <w:tcW w:w="1201" w:type="dxa"/>
            <w:vAlign w:val="bottom"/>
          </w:tcPr>
          <w:p w14:paraId="75EFA326" w14:textId="77777777" w:rsidR="003525DB" w:rsidRDefault="00000000">
            <w:pPr>
              <w:spacing w:line="360" w:lineRule="auto"/>
              <w:jc w:val="center"/>
              <w:rPr>
                <w:color w:val="000000"/>
              </w:rPr>
            </w:pPr>
            <w:r>
              <w:rPr>
                <w:color w:val="000000"/>
              </w:rPr>
              <w:t>-</w:t>
            </w:r>
          </w:p>
        </w:tc>
        <w:tc>
          <w:tcPr>
            <w:tcW w:w="1008" w:type="dxa"/>
            <w:vAlign w:val="bottom"/>
          </w:tcPr>
          <w:p w14:paraId="0552EABC" w14:textId="77777777" w:rsidR="003525DB" w:rsidRDefault="00000000">
            <w:pPr>
              <w:spacing w:line="360" w:lineRule="auto"/>
              <w:jc w:val="center"/>
              <w:rPr>
                <w:color w:val="000000"/>
              </w:rPr>
            </w:pPr>
            <w:r>
              <w:rPr>
                <w:color w:val="000000"/>
              </w:rPr>
              <w:t>5</w:t>
            </w:r>
          </w:p>
        </w:tc>
        <w:tc>
          <w:tcPr>
            <w:tcW w:w="1138" w:type="dxa"/>
            <w:vAlign w:val="bottom"/>
          </w:tcPr>
          <w:p w14:paraId="5903E093" w14:textId="77777777" w:rsidR="003525DB" w:rsidRDefault="00000000">
            <w:pPr>
              <w:spacing w:line="360" w:lineRule="auto"/>
              <w:jc w:val="center"/>
              <w:rPr>
                <w:color w:val="000000"/>
              </w:rPr>
            </w:pPr>
            <w:r>
              <w:rPr>
                <w:color w:val="000000"/>
              </w:rPr>
              <w:t>9.26%</w:t>
            </w:r>
          </w:p>
        </w:tc>
      </w:tr>
      <w:tr w:rsidR="003525DB" w14:paraId="53565AC0" w14:textId="77777777">
        <w:trPr>
          <w:trHeight w:val="205"/>
          <w:jc w:val="center"/>
        </w:trPr>
        <w:tc>
          <w:tcPr>
            <w:tcW w:w="2023" w:type="dxa"/>
            <w:shd w:val="clear" w:color="auto" w:fill="auto"/>
            <w:vAlign w:val="bottom"/>
          </w:tcPr>
          <w:p w14:paraId="03E36117" w14:textId="77777777" w:rsidR="003525DB" w:rsidRDefault="00000000">
            <w:pPr>
              <w:spacing w:line="360" w:lineRule="auto"/>
              <w:rPr>
                <w:color w:val="000000"/>
              </w:rPr>
            </w:pPr>
            <w:r>
              <w:rPr>
                <w:color w:val="000000"/>
              </w:rPr>
              <w:t>CEPAL</w:t>
            </w:r>
          </w:p>
        </w:tc>
        <w:tc>
          <w:tcPr>
            <w:tcW w:w="1474" w:type="dxa"/>
            <w:vAlign w:val="bottom"/>
          </w:tcPr>
          <w:p w14:paraId="45105139" w14:textId="77777777" w:rsidR="003525DB" w:rsidRDefault="00000000">
            <w:pPr>
              <w:spacing w:line="360" w:lineRule="auto"/>
              <w:jc w:val="center"/>
              <w:rPr>
                <w:color w:val="000000"/>
              </w:rPr>
            </w:pPr>
            <w:r>
              <w:rPr>
                <w:color w:val="000000"/>
              </w:rPr>
              <w:t>-</w:t>
            </w:r>
          </w:p>
        </w:tc>
        <w:tc>
          <w:tcPr>
            <w:tcW w:w="1031" w:type="dxa"/>
            <w:vAlign w:val="bottom"/>
          </w:tcPr>
          <w:p w14:paraId="1E08D572" w14:textId="77777777" w:rsidR="003525DB" w:rsidRDefault="00000000">
            <w:pPr>
              <w:spacing w:line="360" w:lineRule="auto"/>
              <w:jc w:val="center"/>
              <w:rPr>
                <w:color w:val="000000"/>
              </w:rPr>
            </w:pPr>
            <w:r>
              <w:rPr>
                <w:color w:val="000000"/>
              </w:rPr>
              <w:t>2</w:t>
            </w:r>
          </w:p>
        </w:tc>
        <w:tc>
          <w:tcPr>
            <w:tcW w:w="1178" w:type="dxa"/>
            <w:shd w:val="clear" w:color="auto" w:fill="auto"/>
            <w:vAlign w:val="bottom"/>
          </w:tcPr>
          <w:p w14:paraId="53F132CE" w14:textId="77777777" w:rsidR="003525DB" w:rsidRDefault="00000000">
            <w:pPr>
              <w:spacing w:line="360" w:lineRule="auto"/>
              <w:jc w:val="center"/>
              <w:rPr>
                <w:color w:val="000000"/>
              </w:rPr>
            </w:pPr>
            <w:r>
              <w:rPr>
                <w:color w:val="000000"/>
              </w:rPr>
              <w:t>-</w:t>
            </w:r>
          </w:p>
        </w:tc>
        <w:tc>
          <w:tcPr>
            <w:tcW w:w="1201" w:type="dxa"/>
            <w:vAlign w:val="bottom"/>
          </w:tcPr>
          <w:p w14:paraId="6736F21C" w14:textId="77777777" w:rsidR="003525DB" w:rsidRDefault="00000000">
            <w:pPr>
              <w:spacing w:line="360" w:lineRule="auto"/>
              <w:jc w:val="center"/>
              <w:rPr>
                <w:color w:val="000000"/>
              </w:rPr>
            </w:pPr>
            <w:r>
              <w:rPr>
                <w:color w:val="000000"/>
              </w:rPr>
              <w:t>-</w:t>
            </w:r>
          </w:p>
        </w:tc>
        <w:tc>
          <w:tcPr>
            <w:tcW w:w="1008" w:type="dxa"/>
            <w:vAlign w:val="bottom"/>
          </w:tcPr>
          <w:p w14:paraId="41F2FDE1" w14:textId="77777777" w:rsidR="003525DB" w:rsidRDefault="00000000">
            <w:pPr>
              <w:spacing w:line="360" w:lineRule="auto"/>
              <w:jc w:val="center"/>
              <w:rPr>
                <w:color w:val="000000"/>
              </w:rPr>
            </w:pPr>
            <w:r>
              <w:rPr>
                <w:color w:val="000000"/>
              </w:rPr>
              <w:t>2</w:t>
            </w:r>
          </w:p>
        </w:tc>
        <w:tc>
          <w:tcPr>
            <w:tcW w:w="1138" w:type="dxa"/>
            <w:vAlign w:val="bottom"/>
          </w:tcPr>
          <w:p w14:paraId="2202752F" w14:textId="77777777" w:rsidR="003525DB" w:rsidRDefault="00000000">
            <w:pPr>
              <w:spacing w:line="360" w:lineRule="auto"/>
              <w:jc w:val="center"/>
              <w:rPr>
                <w:color w:val="000000"/>
              </w:rPr>
            </w:pPr>
            <w:r>
              <w:rPr>
                <w:color w:val="000000"/>
              </w:rPr>
              <w:t>3.70%</w:t>
            </w:r>
          </w:p>
        </w:tc>
      </w:tr>
      <w:tr w:rsidR="003525DB" w14:paraId="18B87785" w14:textId="77777777">
        <w:trPr>
          <w:trHeight w:val="205"/>
          <w:jc w:val="center"/>
        </w:trPr>
        <w:tc>
          <w:tcPr>
            <w:tcW w:w="2023" w:type="dxa"/>
            <w:tcBorders>
              <w:bottom w:val="single" w:sz="4" w:space="0" w:color="000000"/>
            </w:tcBorders>
            <w:shd w:val="clear" w:color="auto" w:fill="auto"/>
            <w:vAlign w:val="bottom"/>
          </w:tcPr>
          <w:p w14:paraId="32E446F3" w14:textId="77777777" w:rsidR="003525DB" w:rsidRDefault="00000000">
            <w:pPr>
              <w:spacing w:line="360" w:lineRule="auto"/>
              <w:rPr>
                <w:color w:val="000000"/>
              </w:rPr>
            </w:pPr>
            <w:r>
              <w:rPr>
                <w:color w:val="000000"/>
              </w:rPr>
              <w:t>Diversas Universidades</w:t>
            </w:r>
          </w:p>
        </w:tc>
        <w:tc>
          <w:tcPr>
            <w:tcW w:w="1474" w:type="dxa"/>
            <w:tcBorders>
              <w:bottom w:val="single" w:sz="4" w:space="0" w:color="000000"/>
            </w:tcBorders>
            <w:vAlign w:val="bottom"/>
          </w:tcPr>
          <w:p w14:paraId="7A82B1E3" w14:textId="77777777" w:rsidR="003525DB" w:rsidRDefault="00000000">
            <w:pPr>
              <w:spacing w:line="360" w:lineRule="auto"/>
              <w:jc w:val="center"/>
              <w:rPr>
                <w:color w:val="000000"/>
              </w:rPr>
            </w:pPr>
            <w:r>
              <w:rPr>
                <w:color w:val="000000"/>
              </w:rPr>
              <w:t>11</w:t>
            </w:r>
          </w:p>
        </w:tc>
        <w:tc>
          <w:tcPr>
            <w:tcW w:w="1031" w:type="dxa"/>
            <w:tcBorders>
              <w:bottom w:val="single" w:sz="4" w:space="0" w:color="000000"/>
            </w:tcBorders>
            <w:vAlign w:val="bottom"/>
          </w:tcPr>
          <w:p w14:paraId="02EF5AF6" w14:textId="77777777" w:rsidR="003525DB" w:rsidRDefault="00000000">
            <w:pPr>
              <w:spacing w:line="360" w:lineRule="auto"/>
              <w:jc w:val="center"/>
              <w:rPr>
                <w:color w:val="000000"/>
              </w:rPr>
            </w:pPr>
            <w:r>
              <w:rPr>
                <w:color w:val="000000"/>
              </w:rPr>
              <w:t>1</w:t>
            </w:r>
          </w:p>
        </w:tc>
        <w:tc>
          <w:tcPr>
            <w:tcW w:w="1178" w:type="dxa"/>
            <w:tcBorders>
              <w:bottom w:val="single" w:sz="4" w:space="0" w:color="000000"/>
            </w:tcBorders>
            <w:shd w:val="clear" w:color="auto" w:fill="auto"/>
            <w:vAlign w:val="bottom"/>
          </w:tcPr>
          <w:p w14:paraId="33814ED5" w14:textId="77777777" w:rsidR="003525DB" w:rsidRDefault="00000000">
            <w:pPr>
              <w:spacing w:line="360" w:lineRule="auto"/>
              <w:jc w:val="center"/>
              <w:rPr>
                <w:color w:val="000000"/>
              </w:rPr>
            </w:pPr>
            <w:r>
              <w:rPr>
                <w:color w:val="000000"/>
              </w:rPr>
              <w:t>2</w:t>
            </w:r>
          </w:p>
        </w:tc>
        <w:tc>
          <w:tcPr>
            <w:tcW w:w="1201" w:type="dxa"/>
            <w:tcBorders>
              <w:bottom w:val="single" w:sz="4" w:space="0" w:color="000000"/>
            </w:tcBorders>
            <w:vAlign w:val="bottom"/>
          </w:tcPr>
          <w:p w14:paraId="02BA1574" w14:textId="77777777" w:rsidR="003525DB" w:rsidRDefault="00000000">
            <w:pPr>
              <w:spacing w:line="360" w:lineRule="auto"/>
              <w:jc w:val="center"/>
              <w:rPr>
                <w:color w:val="000000"/>
              </w:rPr>
            </w:pPr>
            <w:r>
              <w:rPr>
                <w:color w:val="000000"/>
              </w:rPr>
              <w:t>1</w:t>
            </w:r>
          </w:p>
        </w:tc>
        <w:tc>
          <w:tcPr>
            <w:tcW w:w="1008" w:type="dxa"/>
            <w:tcBorders>
              <w:bottom w:val="single" w:sz="4" w:space="0" w:color="000000"/>
            </w:tcBorders>
            <w:vAlign w:val="bottom"/>
          </w:tcPr>
          <w:p w14:paraId="37D5C5FA" w14:textId="77777777" w:rsidR="003525DB" w:rsidRDefault="00000000">
            <w:pPr>
              <w:spacing w:line="360" w:lineRule="auto"/>
              <w:jc w:val="center"/>
              <w:rPr>
                <w:color w:val="000000"/>
              </w:rPr>
            </w:pPr>
            <w:r>
              <w:rPr>
                <w:color w:val="000000"/>
              </w:rPr>
              <w:t>15</w:t>
            </w:r>
          </w:p>
        </w:tc>
        <w:tc>
          <w:tcPr>
            <w:tcW w:w="1138" w:type="dxa"/>
            <w:tcBorders>
              <w:bottom w:val="single" w:sz="4" w:space="0" w:color="000000"/>
            </w:tcBorders>
            <w:vAlign w:val="bottom"/>
          </w:tcPr>
          <w:p w14:paraId="1F18E290" w14:textId="77777777" w:rsidR="003525DB" w:rsidRDefault="00000000">
            <w:pPr>
              <w:spacing w:line="360" w:lineRule="auto"/>
              <w:jc w:val="center"/>
              <w:rPr>
                <w:color w:val="000000"/>
              </w:rPr>
            </w:pPr>
            <w:r>
              <w:rPr>
                <w:color w:val="000000"/>
              </w:rPr>
              <w:t>27.78%</w:t>
            </w:r>
          </w:p>
        </w:tc>
      </w:tr>
      <w:tr w:rsidR="003525DB" w14:paraId="635F48BD" w14:textId="77777777">
        <w:trPr>
          <w:trHeight w:val="205"/>
          <w:jc w:val="center"/>
        </w:trPr>
        <w:tc>
          <w:tcPr>
            <w:tcW w:w="2023" w:type="dxa"/>
            <w:tcBorders>
              <w:top w:val="single" w:sz="4" w:space="0" w:color="000000"/>
              <w:bottom w:val="single" w:sz="4" w:space="0" w:color="000000"/>
            </w:tcBorders>
            <w:shd w:val="clear" w:color="auto" w:fill="auto"/>
          </w:tcPr>
          <w:p w14:paraId="77CDEE8C" w14:textId="77777777" w:rsidR="003525DB" w:rsidRDefault="00000000">
            <w:pPr>
              <w:spacing w:line="360" w:lineRule="auto"/>
              <w:rPr>
                <w:b/>
                <w:color w:val="000000"/>
              </w:rPr>
            </w:pPr>
            <w:r>
              <w:rPr>
                <w:b/>
                <w:color w:val="000000"/>
              </w:rPr>
              <w:t>Total general</w:t>
            </w:r>
          </w:p>
        </w:tc>
        <w:tc>
          <w:tcPr>
            <w:tcW w:w="1474" w:type="dxa"/>
            <w:tcBorders>
              <w:top w:val="single" w:sz="4" w:space="0" w:color="000000"/>
              <w:bottom w:val="single" w:sz="4" w:space="0" w:color="000000"/>
            </w:tcBorders>
            <w:vAlign w:val="center"/>
          </w:tcPr>
          <w:p w14:paraId="32456AC5" w14:textId="77777777" w:rsidR="003525DB" w:rsidRDefault="00000000">
            <w:pPr>
              <w:spacing w:line="360" w:lineRule="auto"/>
              <w:jc w:val="center"/>
              <w:rPr>
                <w:b/>
                <w:color w:val="000000"/>
              </w:rPr>
            </w:pPr>
            <w:r>
              <w:rPr>
                <w:b/>
                <w:color w:val="000000"/>
              </w:rPr>
              <w:t>43</w:t>
            </w:r>
          </w:p>
        </w:tc>
        <w:tc>
          <w:tcPr>
            <w:tcW w:w="1031" w:type="dxa"/>
            <w:tcBorders>
              <w:top w:val="single" w:sz="4" w:space="0" w:color="000000"/>
              <w:bottom w:val="single" w:sz="4" w:space="0" w:color="000000"/>
            </w:tcBorders>
            <w:vAlign w:val="center"/>
          </w:tcPr>
          <w:p w14:paraId="2C1DCF6D" w14:textId="77777777" w:rsidR="003525DB" w:rsidRDefault="00000000">
            <w:pPr>
              <w:spacing w:line="360" w:lineRule="auto"/>
              <w:jc w:val="center"/>
              <w:rPr>
                <w:b/>
                <w:color w:val="000000"/>
              </w:rPr>
            </w:pPr>
            <w:r>
              <w:rPr>
                <w:b/>
                <w:color w:val="000000"/>
              </w:rPr>
              <w:t>8</w:t>
            </w:r>
          </w:p>
        </w:tc>
        <w:tc>
          <w:tcPr>
            <w:tcW w:w="1178" w:type="dxa"/>
            <w:tcBorders>
              <w:top w:val="single" w:sz="4" w:space="0" w:color="000000"/>
              <w:bottom w:val="single" w:sz="4" w:space="0" w:color="000000"/>
            </w:tcBorders>
            <w:shd w:val="clear" w:color="auto" w:fill="auto"/>
            <w:vAlign w:val="center"/>
          </w:tcPr>
          <w:p w14:paraId="0EAB437F" w14:textId="77777777" w:rsidR="003525DB" w:rsidRDefault="00000000">
            <w:pPr>
              <w:spacing w:line="360" w:lineRule="auto"/>
              <w:jc w:val="center"/>
              <w:rPr>
                <w:b/>
                <w:color w:val="000000"/>
              </w:rPr>
            </w:pPr>
            <w:r>
              <w:rPr>
                <w:b/>
                <w:color w:val="000000"/>
              </w:rPr>
              <w:t>2</w:t>
            </w:r>
          </w:p>
        </w:tc>
        <w:tc>
          <w:tcPr>
            <w:tcW w:w="1201" w:type="dxa"/>
            <w:tcBorders>
              <w:top w:val="single" w:sz="4" w:space="0" w:color="000000"/>
              <w:bottom w:val="single" w:sz="4" w:space="0" w:color="000000"/>
            </w:tcBorders>
            <w:vAlign w:val="center"/>
          </w:tcPr>
          <w:p w14:paraId="5B4909C5" w14:textId="77777777" w:rsidR="003525DB" w:rsidRDefault="00000000">
            <w:pPr>
              <w:spacing w:line="360" w:lineRule="auto"/>
              <w:jc w:val="center"/>
              <w:rPr>
                <w:b/>
                <w:color w:val="000000"/>
              </w:rPr>
            </w:pPr>
            <w:r>
              <w:rPr>
                <w:b/>
                <w:color w:val="000000"/>
              </w:rPr>
              <w:t>1</w:t>
            </w:r>
          </w:p>
        </w:tc>
        <w:tc>
          <w:tcPr>
            <w:tcW w:w="1008" w:type="dxa"/>
            <w:tcBorders>
              <w:top w:val="single" w:sz="4" w:space="0" w:color="000000"/>
              <w:bottom w:val="single" w:sz="4" w:space="0" w:color="000000"/>
            </w:tcBorders>
            <w:vAlign w:val="center"/>
          </w:tcPr>
          <w:p w14:paraId="1C08B1F8" w14:textId="77777777" w:rsidR="003525DB" w:rsidRDefault="00000000">
            <w:pPr>
              <w:spacing w:line="360" w:lineRule="auto"/>
              <w:jc w:val="center"/>
              <w:rPr>
                <w:b/>
                <w:color w:val="000000"/>
              </w:rPr>
            </w:pPr>
            <w:r>
              <w:rPr>
                <w:b/>
                <w:color w:val="000000"/>
              </w:rPr>
              <w:t>54</w:t>
            </w:r>
          </w:p>
        </w:tc>
        <w:tc>
          <w:tcPr>
            <w:tcW w:w="1138" w:type="dxa"/>
            <w:tcBorders>
              <w:top w:val="single" w:sz="4" w:space="0" w:color="000000"/>
              <w:bottom w:val="single" w:sz="4" w:space="0" w:color="000000"/>
            </w:tcBorders>
            <w:vAlign w:val="bottom"/>
          </w:tcPr>
          <w:p w14:paraId="14A0440C" w14:textId="77777777" w:rsidR="003525DB" w:rsidRDefault="00000000">
            <w:pPr>
              <w:spacing w:line="360" w:lineRule="auto"/>
              <w:jc w:val="center"/>
              <w:rPr>
                <w:b/>
                <w:color w:val="000000"/>
              </w:rPr>
            </w:pPr>
            <w:r>
              <w:rPr>
                <w:b/>
                <w:color w:val="000000"/>
              </w:rPr>
              <w:t>100.00%</w:t>
            </w:r>
          </w:p>
        </w:tc>
      </w:tr>
      <w:tr w:rsidR="003525DB" w14:paraId="2560A8E1" w14:textId="77777777">
        <w:trPr>
          <w:trHeight w:val="205"/>
          <w:jc w:val="center"/>
        </w:trPr>
        <w:tc>
          <w:tcPr>
            <w:tcW w:w="2023" w:type="dxa"/>
            <w:tcBorders>
              <w:top w:val="single" w:sz="4" w:space="0" w:color="000000"/>
              <w:bottom w:val="single" w:sz="4" w:space="0" w:color="000000"/>
            </w:tcBorders>
            <w:shd w:val="clear" w:color="auto" w:fill="auto"/>
          </w:tcPr>
          <w:p w14:paraId="59766655" w14:textId="77777777" w:rsidR="003525DB" w:rsidRDefault="00000000">
            <w:pPr>
              <w:spacing w:line="360" w:lineRule="auto"/>
              <w:rPr>
                <w:b/>
                <w:color w:val="000000"/>
              </w:rPr>
            </w:pPr>
            <w:r>
              <w:rPr>
                <w:b/>
                <w:color w:val="000000"/>
              </w:rPr>
              <w:t>Porcentaje</w:t>
            </w:r>
          </w:p>
        </w:tc>
        <w:tc>
          <w:tcPr>
            <w:tcW w:w="1474" w:type="dxa"/>
            <w:tcBorders>
              <w:top w:val="single" w:sz="4" w:space="0" w:color="000000"/>
              <w:bottom w:val="single" w:sz="4" w:space="0" w:color="000000"/>
            </w:tcBorders>
          </w:tcPr>
          <w:p w14:paraId="2E40A565" w14:textId="77777777" w:rsidR="003525DB" w:rsidRDefault="00000000">
            <w:pPr>
              <w:spacing w:line="360" w:lineRule="auto"/>
              <w:jc w:val="center"/>
              <w:rPr>
                <w:b/>
                <w:color w:val="000000"/>
              </w:rPr>
            </w:pPr>
            <w:r>
              <w:rPr>
                <w:b/>
                <w:color w:val="000000"/>
              </w:rPr>
              <w:t>79.63%</w:t>
            </w:r>
          </w:p>
        </w:tc>
        <w:tc>
          <w:tcPr>
            <w:tcW w:w="1031" w:type="dxa"/>
            <w:tcBorders>
              <w:top w:val="single" w:sz="4" w:space="0" w:color="000000"/>
              <w:bottom w:val="single" w:sz="4" w:space="0" w:color="000000"/>
            </w:tcBorders>
          </w:tcPr>
          <w:p w14:paraId="0115D75B" w14:textId="77777777" w:rsidR="003525DB" w:rsidRDefault="00000000">
            <w:pPr>
              <w:spacing w:line="360" w:lineRule="auto"/>
              <w:jc w:val="center"/>
              <w:rPr>
                <w:b/>
                <w:color w:val="000000"/>
              </w:rPr>
            </w:pPr>
            <w:r>
              <w:rPr>
                <w:b/>
                <w:color w:val="000000"/>
              </w:rPr>
              <w:t>14.81%</w:t>
            </w:r>
          </w:p>
        </w:tc>
        <w:tc>
          <w:tcPr>
            <w:tcW w:w="1178" w:type="dxa"/>
            <w:tcBorders>
              <w:top w:val="single" w:sz="4" w:space="0" w:color="000000"/>
              <w:bottom w:val="single" w:sz="4" w:space="0" w:color="000000"/>
            </w:tcBorders>
            <w:shd w:val="clear" w:color="auto" w:fill="auto"/>
          </w:tcPr>
          <w:p w14:paraId="3DF3725C" w14:textId="77777777" w:rsidR="003525DB" w:rsidRDefault="00000000">
            <w:pPr>
              <w:spacing w:line="360" w:lineRule="auto"/>
              <w:jc w:val="center"/>
              <w:rPr>
                <w:b/>
                <w:color w:val="000000"/>
              </w:rPr>
            </w:pPr>
            <w:r>
              <w:rPr>
                <w:b/>
                <w:color w:val="000000"/>
              </w:rPr>
              <w:t>3.70%</w:t>
            </w:r>
          </w:p>
        </w:tc>
        <w:tc>
          <w:tcPr>
            <w:tcW w:w="1201" w:type="dxa"/>
            <w:tcBorders>
              <w:top w:val="single" w:sz="4" w:space="0" w:color="000000"/>
              <w:bottom w:val="single" w:sz="4" w:space="0" w:color="000000"/>
            </w:tcBorders>
          </w:tcPr>
          <w:p w14:paraId="3F770505" w14:textId="77777777" w:rsidR="003525DB" w:rsidRDefault="00000000">
            <w:pPr>
              <w:spacing w:line="360" w:lineRule="auto"/>
              <w:jc w:val="center"/>
              <w:rPr>
                <w:b/>
                <w:color w:val="000000"/>
              </w:rPr>
            </w:pPr>
            <w:r>
              <w:rPr>
                <w:b/>
                <w:color w:val="000000"/>
              </w:rPr>
              <w:t>1.85%</w:t>
            </w:r>
          </w:p>
        </w:tc>
        <w:tc>
          <w:tcPr>
            <w:tcW w:w="1008" w:type="dxa"/>
            <w:tcBorders>
              <w:top w:val="single" w:sz="4" w:space="0" w:color="000000"/>
              <w:bottom w:val="single" w:sz="4" w:space="0" w:color="000000"/>
            </w:tcBorders>
          </w:tcPr>
          <w:p w14:paraId="54086EB3" w14:textId="77777777" w:rsidR="003525DB" w:rsidRDefault="00000000">
            <w:pPr>
              <w:spacing w:line="360" w:lineRule="auto"/>
              <w:jc w:val="center"/>
              <w:rPr>
                <w:b/>
                <w:color w:val="000000"/>
              </w:rPr>
            </w:pPr>
            <w:r>
              <w:rPr>
                <w:b/>
                <w:color w:val="000000"/>
              </w:rPr>
              <w:t>100.00%</w:t>
            </w:r>
          </w:p>
        </w:tc>
        <w:tc>
          <w:tcPr>
            <w:tcW w:w="1138" w:type="dxa"/>
            <w:tcBorders>
              <w:top w:val="single" w:sz="4" w:space="0" w:color="000000"/>
              <w:bottom w:val="single" w:sz="4" w:space="0" w:color="000000"/>
            </w:tcBorders>
            <w:vAlign w:val="bottom"/>
          </w:tcPr>
          <w:p w14:paraId="628BB9B8" w14:textId="77777777" w:rsidR="003525DB" w:rsidRDefault="003525DB">
            <w:pPr>
              <w:spacing w:line="360" w:lineRule="auto"/>
              <w:jc w:val="center"/>
              <w:rPr>
                <w:b/>
                <w:color w:val="000000"/>
              </w:rPr>
            </w:pPr>
          </w:p>
        </w:tc>
      </w:tr>
    </w:tbl>
    <w:p w14:paraId="083B7BD6" w14:textId="77777777" w:rsidR="003525DB" w:rsidRDefault="00000000">
      <w:pPr>
        <w:spacing w:line="360" w:lineRule="auto"/>
        <w:jc w:val="both"/>
        <w:rPr>
          <w:i/>
        </w:rPr>
      </w:pPr>
      <w:r>
        <w:rPr>
          <w:b/>
          <w:i/>
        </w:rPr>
        <w:t>Fuente:</w:t>
      </w:r>
      <w:r>
        <w:rPr>
          <w:i/>
        </w:rPr>
        <w:t xml:space="preserve"> elaboración propia</w:t>
      </w:r>
    </w:p>
    <w:p w14:paraId="4D1796D8" w14:textId="77777777" w:rsidR="002D2761" w:rsidRDefault="002D2761" w:rsidP="002D2761">
      <w:pPr>
        <w:spacing w:line="276" w:lineRule="auto"/>
        <w:jc w:val="both"/>
      </w:pPr>
    </w:p>
    <w:p w14:paraId="6D0A67C7" w14:textId="71E2E6BD" w:rsidR="003525DB" w:rsidRDefault="00000000" w:rsidP="002D2761">
      <w:pPr>
        <w:spacing w:line="276" w:lineRule="auto"/>
        <w:jc w:val="both"/>
      </w:pPr>
      <w:r>
        <w:t>En lo que respecta al año en que fueron publicados los diferentes documentos, el 2018 fue el año en que más se publicó, representando 24.07%, seguido del 2017 con el 16.67%, el 2020 y 2021 tienen igual el 14.81% como se muestra en el siguiente gráfico:</w:t>
      </w:r>
    </w:p>
    <w:p w14:paraId="433C2F7C" w14:textId="77777777" w:rsidR="003525DB" w:rsidRDefault="003525DB">
      <w:pPr>
        <w:spacing w:line="360" w:lineRule="auto"/>
        <w:jc w:val="both"/>
      </w:pPr>
    </w:p>
    <w:p w14:paraId="76F67AFD" w14:textId="77777777" w:rsidR="003525DB" w:rsidRDefault="00000000">
      <w:pPr>
        <w:spacing w:line="360" w:lineRule="auto"/>
        <w:jc w:val="both"/>
        <w:rPr>
          <w:b/>
          <w:i/>
          <w:color w:val="000000"/>
        </w:rPr>
      </w:pPr>
      <w:r>
        <w:rPr>
          <w:b/>
          <w:i/>
        </w:rPr>
        <w:t xml:space="preserve">Figura </w:t>
      </w:r>
      <w:r>
        <w:rPr>
          <w:b/>
          <w:i/>
          <w:color w:val="000000"/>
        </w:rPr>
        <w:t>1.</w:t>
      </w:r>
    </w:p>
    <w:p w14:paraId="68D93F08" w14:textId="77777777" w:rsidR="003525DB" w:rsidRDefault="00000000">
      <w:pPr>
        <w:spacing w:line="360" w:lineRule="auto"/>
        <w:jc w:val="both"/>
        <w:rPr>
          <w:i/>
          <w:color w:val="000000"/>
        </w:rPr>
      </w:pPr>
      <w:r>
        <w:rPr>
          <w:i/>
          <w:color w:val="000000"/>
        </w:rPr>
        <w:t xml:space="preserve"> Distribución de años de publicación en las diversas plataformas </w:t>
      </w:r>
    </w:p>
    <w:p w14:paraId="7154114F" w14:textId="77777777" w:rsidR="003525DB" w:rsidRDefault="00000000">
      <w:pPr>
        <w:spacing w:line="360" w:lineRule="auto"/>
        <w:jc w:val="both"/>
        <w:rPr>
          <w:color w:val="000000"/>
        </w:rPr>
      </w:pPr>
      <w:r>
        <w:rPr>
          <w:noProof/>
          <w:color w:val="000000"/>
        </w:rPr>
        <w:drawing>
          <wp:inline distT="0" distB="0" distL="0" distR="0" wp14:anchorId="240AE81A" wp14:editId="5176F1B4">
            <wp:extent cx="4800600" cy="2247900"/>
            <wp:effectExtent l="0" t="0" r="0" b="0"/>
            <wp:docPr id="1702763986" name="Gráfico 17027639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color w:val="000000"/>
        </w:rPr>
        <w:t xml:space="preserve"> </w:t>
      </w:r>
    </w:p>
    <w:p w14:paraId="41290A1F" w14:textId="77777777" w:rsidR="003525DB" w:rsidRDefault="00000000">
      <w:pPr>
        <w:spacing w:line="360" w:lineRule="auto"/>
        <w:jc w:val="both"/>
        <w:rPr>
          <w:i/>
        </w:rPr>
      </w:pPr>
      <w:r>
        <w:rPr>
          <w:b/>
          <w:i/>
        </w:rPr>
        <w:t xml:space="preserve">Fuente: </w:t>
      </w:r>
      <w:r>
        <w:rPr>
          <w:i/>
        </w:rPr>
        <w:t>elaboración propia</w:t>
      </w:r>
    </w:p>
    <w:p w14:paraId="5E761C01" w14:textId="77777777" w:rsidR="003525DB" w:rsidRDefault="00000000" w:rsidP="002D2761">
      <w:pPr>
        <w:spacing w:line="276" w:lineRule="auto"/>
        <w:jc w:val="both"/>
      </w:pPr>
      <w:r>
        <w:lastRenderedPageBreak/>
        <w:t>Sobre los países de origen donde fueron realizados estas investigaciones, se encuentran en primer lugar Colombia y México con el 35.19 % cada uno, seguido de Ecuador con 4 y España al igual que Perú con 3, como se puede observar en el siguiente gráfico:</w:t>
      </w:r>
    </w:p>
    <w:p w14:paraId="6C2A87CF" w14:textId="77777777" w:rsidR="002D2761" w:rsidRDefault="002D2761" w:rsidP="002D2761">
      <w:pPr>
        <w:spacing w:line="276" w:lineRule="auto"/>
        <w:jc w:val="both"/>
        <w:rPr>
          <w:b/>
          <w:sz w:val="20"/>
          <w:szCs w:val="20"/>
        </w:rPr>
      </w:pPr>
    </w:p>
    <w:p w14:paraId="741D3CE9" w14:textId="77777777" w:rsidR="003525DB" w:rsidRDefault="00000000">
      <w:pPr>
        <w:spacing w:line="360" w:lineRule="auto"/>
        <w:jc w:val="both"/>
        <w:rPr>
          <w:b/>
          <w:i/>
          <w:color w:val="000000"/>
        </w:rPr>
      </w:pPr>
      <w:r>
        <w:rPr>
          <w:b/>
          <w:i/>
        </w:rPr>
        <w:t xml:space="preserve">Figura </w:t>
      </w:r>
      <w:r>
        <w:rPr>
          <w:b/>
          <w:i/>
          <w:color w:val="000000"/>
          <w:sz w:val="28"/>
          <w:szCs w:val="28"/>
        </w:rPr>
        <w:t>2.</w:t>
      </w:r>
      <w:r>
        <w:rPr>
          <w:b/>
          <w:i/>
          <w:color w:val="000000"/>
        </w:rPr>
        <w:t xml:space="preserve"> </w:t>
      </w:r>
    </w:p>
    <w:p w14:paraId="20B69BBA" w14:textId="77777777" w:rsidR="003525DB" w:rsidRDefault="00000000">
      <w:pPr>
        <w:spacing w:line="360" w:lineRule="auto"/>
        <w:jc w:val="both"/>
        <w:rPr>
          <w:i/>
          <w:color w:val="000000"/>
        </w:rPr>
      </w:pPr>
      <w:r>
        <w:rPr>
          <w:i/>
          <w:color w:val="000000"/>
        </w:rPr>
        <w:t>Distribución de países donde se realizó las publicaciones</w:t>
      </w:r>
    </w:p>
    <w:p w14:paraId="1880E366" w14:textId="77777777" w:rsidR="003525DB" w:rsidRDefault="00000000">
      <w:pPr>
        <w:spacing w:line="360" w:lineRule="auto"/>
        <w:jc w:val="both"/>
        <w:rPr>
          <w:b/>
          <w:color w:val="000000"/>
          <w:sz w:val="20"/>
          <w:szCs w:val="20"/>
        </w:rPr>
      </w:pPr>
      <w:r>
        <w:rPr>
          <w:noProof/>
          <w:color w:val="000000"/>
          <w:sz w:val="20"/>
          <w:szCs w:val="20"/>
        </w:rPr>
        <w:drawing>
          <wp:inline distT="0" distB="0" distL="0" distR="0" wp14:anchorId="5B237270" wp14:editId="79EA09AD">
            <wp:extent cx="4572000" cy="2743200"/>
            <wp:effectExtent l="0" t="0" r="0" b="0"/>
            <wp:docPr id="1702763987" name="Gráfico 17027639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A075B5" w14:textId="77777777" w:rsidR="003525DB" w:rsidRDefault="00000000">
      <w:pPr>
        <w:spacing w:line="360" w:lineRule="auto"/>
        <w:jc w:val="both"/>
        <w:rPr>
          <w:color w:val="000000"/>
          <w:sz w:val="20"/>
          <w:szCs w:val="20"/>
        </w:rPr>
      </w:pPr>
      <w:r>
        <w:rPr>
          <w:b/>
          <w:i/>
        </w:rPr>
        <w:t xml:space="preserve">Fuente: </w:t>
      </w:r>
      <w:r>
        <w:rPr>
          <w:i/>
        </w:rPr>
        <w:t>elaboración propia</w:t>
      </w:r>
    </w:p>
    <w:p w14:paraId="46A24E55" w14:textId="77777777" w:rsidR="002D2761" w:rsidRDefault="002D2761" w:rsidP="002D2761">
      <w:pPr>
        <w:spacing w:line="276" w:lineRule="auto"/>
        <w:jc w:val="both"/>
      </w:pPr>
    </w:p>
    <w:p w14:paraId="5DD05653" w14:textId="1CAD7D08" w:rsidR="003525DB" w:rsidRDefault="00000000" w:rsidP="002D2761">
      <w:pPr>
        <w:spacing w:line="276" w:lineRule="auto"/>
        <w:jc w:val="both"/>
      </w:pPr>
      <w:r>
        <w:t>De acuerdo con lo documentado, se deja evidenciado la existencia de una relación directa entre la inclusión financiera con la rentabilidad en la PYME, donde se enfatizó en cinco (5) investigaciones que demuestran estas similitudes en sus resultados, mismos que se presenta en la siguiente tabla:</w:t>
      </w:r>
    </w:p>
    <w:p w14:paraId="3C24705A" w14:textId="77777777" w:rsidR="002D2761" w:rsidRDefault="002D2761" w:rsidP="002D2761">
      <w:pPr>
        <w:spacing w:line="276" w:lineRule="auto"/>
        <w:jc w:val="both"/>
      </w:pPr>
    </w:p>
    <w:p w14:paraId="1C8CA97D" w14:textId="77777777" w:rsidR="003525DB" w:rsidRDefault="00000000" w:rsidP="002D2761">
      <w:pPr>
        <w:pBdr>
          <w:top w:val="nil"/>
          <w:left w:val="nil"/>
          <w:bottom w:val="nil"/>
          <w:right w:val="nil"/>
          <w:between w:val="nil"/>
        </w:pBdr>
        <w:spacing w:line="360" w:lineRule="auto"/>
        <w:jc w:val="both"/>
        <w:rPr>
          <w:b/>
          <w:color w:val="000000"/>
        </w:rPr>
      </w:pPr>
      <w:r>
        <w:rPr>
          <w:b/>
          <w:color w:val="000000"/>
        </w:rPr>
        <w:t>Tabla 2.</w:t>
      </w:r>
    </w:p>
    <w:p w14:paraId="5B4ED323" w14:textId="77777777" w:rsidR="003525DB" w:rsidRDefault="00000000" w:rsidP="002D2761">
      <w:pPr>
        <w:pBdr>
          <w:top w:val="nil"/>
          <w:left w:val="nil"/>
          <w:bottom w:val="nil"/>
          <w:right w:val="nil"/>
          <w:between w:val="nil"/>
        </w:pBdr>
        <w:spacing w:line="360" w:lineRule="auto"/>
        <w:jc w:val="both"/>
        <w:rPr>
          <w:i/>
          <w:color w:val="000000"/>
        </w:rPr>
      </w:pPr>
      <w:r>
        <w:rPr>
          <w:i/>
          <w:color w:val="000000"/>
        </w:rPr>
        <w:t xml:space="preserve">Resumen de resultados entre inclusión financiera y rentabilidad </w:t>
      </w:r>
    </w:p>
    <w:tbl>
      <w:tblPr>
        <w:tblStyle w:val="a0"/>
        <w:tblW w:w="8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984"/>
        <w:gridCol w:w="4388"/>
      </w:tblGrid>
      <w:tr w:rsidR="003525DB" w14:paraId="568A1647" w14:textId="77777777">
        <w:trPr>
          <w:trHeight w:val="662"/>
        </w:trPr>
        <w:tc>
          <w:tcPr>
            <w:tcW w:w="2127" w:type="dxa"/>
            <w:shd w:val="clear" w:color="auto" w:fill="BFBFBF"/>
            <w:vAlign w:val="center"/>
          </w:tcPr>
          <w:p w14:paraId="7A06BE6D" w14:textId="77777777" w:rsidR="003525DB"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Autores</w:t>
            </w:r>
          </w:p>
        </w:tc>
        <w:tc>
          <w:tcPr>
            <w:tcW w:w="1984" w:type="dxa"/>
            <w:shd w:val="clear" w:color="auto" w:fill="BFBFBF"/>
            <w:vAlign w:val="center"/>
          </w:tcPr>
          <w:p w14:paraId="6FC45E32" w14:textId="77777777" w:rsidR="003525DB"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Nombre Investigación</w:t>
            </w:r>
          </w:p>
        </w:tc>
        <w:tc>
          <w:tcPr>
            <w:tcW w:w="4388" w:type="dxa"/>
            <w:shd w:val="clear" w:color="auto" w:fill="BFBFBF"/>
            <w:vAlign w:val="center"/>
          </w:tcPr>
          <w:p w14:paraId="5B5E9514" w14:textId="77777777" w:rsidR="003525DB"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Principales Resultados</w:t>
            </w:r>
          </w:p>
        </w:tc>
      </w:tr>
      <w:tr w:rsidR="003525DB" w14:paraId="26F601C9" w14:textId="77777777">
        <w:tc>
          <w:tcPr>
            <w:tcW w:w="2127" w:type="dxa"/>
          </w:tcPr>
          <w:p w14:paraId="0A857EDC"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Luis Alberto Zuleta J. (2016).</w:t>
            </w:r>
          </w:p>
        </w:tc>
        <w:tc>
          <w:tcPr>
            <w:tcW w:w="1984" w:type="dxa"/>
          </w:tcPr>
          <w:p w14:paraId="3E6061F6"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Inclusión financiera de</w:t>
            </w:r>
          </w:p>
          <w:p w14:paraId="129B025F"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pequeña y mediana</w:t>
            </w:r>
          </w:p>
          <w:p w14:paraId="5FB6AE7B"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empresa en Colombia.</w:t>
            </w:r>
          </w:p>
        </w:tc>
        <w:tc>
          <w:tcPr>
            <w:tcW w:w="4388" w:type="dxa"/>
          </w:tcPr>
          <w:p w14:paraId="7E5098D2"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empresas que tienen crédito tienden a tener un mayor crecimiento en ventas, márgenes e inversión en maquinaria y equipo que aquellas que no tienen crédito.</w:t>
            </w:r>
          </w:p>
          <w:p w14:paraId="75039EF5"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Según los resultados de esta prueba, la distribución de los cambios en las ventas de las empresas que tienen un crédito aprobado y las que no lo tienen es distinta a un nivel de significancia del 1%, independientemente del sector económico. </w:t>
            </w:r>
            <w:r>
              <w:rPr>
                <w:rFonts w:ascii="Times New Roman" w:eastAsia="Times New Roman" w:hAnsi="Times New Roman" w:cs="Times New Roman"/>
                <w:color w:val="000000"/>
                <w:sz w:val="24"/>
                <w:szCs w:val="24"/>
              </w:rPr>
              <w:lastRenderedPageBreak/>
              <w:t>Al realizar la prueba de una cola se evidencia que las empresas que no tienen crédito tienen mayor probabilidad a que sus ventas permanezcan iguales.</w:t>
            </w:r>
          </w:p>
        </w:tc>
      </w:tr>
      <w:tr w:rsidR="003525DB" w14:paraId="377AE11E" w14:textId="77777777">
        <w:tc>
          <w:tcPr>
            <w:tcW w:w="2127" w:type="dxa"/>
          </w:tcPr>
          <w:p w14:paraId="46AF3B55"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Joseph </w:t>
            </w:r>
            <w:proofErr w:type="spellStart"/>
            <w:r>
              <w:rPr>
                <w:rFonts w:ascii="Times New Roman" w:eastAsia="Times New Roman" w:hAnsi="Times New Roman" w:cs="Times New Roman"/>
                <w:color w:val="000000"/>
                <w:sz w:val="24"/>
                <w:szCs w:val="24"/>
              </w:rPr>
              <w:t>Andre</w:t>
            </w:r>
            <w:proofErr w:type="spellEnd"/>
            <w:r>
              <w:rPr>
                <w:rFonts w:ascii="Times New Roman" w:eastAsia="Times New Roman" w:hAnsi="Times New Roman" w:cs="Times New Roman"/>
                <w:color w:val="000000"/>
                <w:sz w:val="24"/>
                <w:szCs w:val="24"/>
              </w:rPr>
              <w:t xml:space="preserve"> Vega </w:t>
            </w:r>
            <w:proofErr w:type="spellStart"/>
            <w:r>
              <w:rPr>
                <w:rFonts w:ascii="Times New Roman" w:eastAsia="Times New Roman" w:hAnsi="Times New Roman" w:cs="Times New Roman"/>
                <w:color w:val="000000"/>
                <w:sz w:val="24"/>
                <w:szCs w:val="24"/>
              </w:rPr>
              <w:t>Rutty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Ibett</w:t>
            </w:r>
            <w:proofErr w:type="spellEnd"/>
            <w:r>
              <w:rPr>
                <w:rFonts w:ascii="Times New Roman" w:eastAsia="Times New Roman" w:hAnsi="Times New Roman" w:cs="Times New Roman"/>
                <w:color w:val="000000"/>
                <w:sz w:val="24"/>
                <w:szCs w:val="24"/>
              </w:rPr>
              <w:t xml:space="preserve"> Geovana Borda Quispe (2016).</w:t>
            </w:r>
          </w:p>
        </w:tc>
        <w:tc>
          <w:tcPr>
            <w:tcW w:w="1984" w:type="dxa"/>
          </w:tcPr>
          <w:p w14:paraId="4B841860" w14:textId="3658BD3A"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Impacto de la inclusión financiera en el crecimiento económico de las </w:t>
            </w:r>
            <w:r w:rsidR="002D2761">
              <w:rPr>
                <w:rFonts w:ascii="Times New Roman" w:eastAsia="Times New Roman" w:hAnsi="Times New Roman" w:cs="Times New Roman"/>
                <w:color w:val="000000"/>
                <w:sz w:val="24"/>
                <w:szCs w:val="24"/>
              </w:rPr>
              <w:t>MYPES</w:t>
            </w:r>
            <w:r>
              <w:rPr>
                <w:rFonts w:ascii="Times New Roman" w:eastAsia="Times New Roman" w:hAnsi="Times New Roman" w:cs="Times New Roman"/>
                <w:color w:val="000000"/>
                <w:sz w:val="24"/>
                <w:szCs w:val="24"/>
              </w:rPr>
              <w:t xml:space="preserve"> de la provincia de Chupaca.</w:t>
            </w:r>
          </w:p>
        </w:tc>
        <w:tc>
          <w:tcPr>
            <w:tcW w:w="4388" w:type="dxa"/>
          </w:tcPr>
          <w:p w14:paraId="25A7F551" w14:textId="37313BFD"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contrato de arrendamiento financiero en las </w:t>
            </w:r>
            <w:r w:rsidR="002D2761">
              <w:rPr>
                <w:rFonts w:ascii="Times New Roman" w:eastAsia="Times New Roman" w:hAnsi="Times New Roman" w:cs="Times New Roman"/>
                <w:color w:val="000000"/>
                <w:sz w:val="24"/>
                <w:szCs w:val="24"/>
              </w:rPr>
              <w:t>MYPES</w:t>
            </w:r>
            <w:r>
              <w:rPr>
                <w:rFonts w:ascii="Times New Roman" w:eastAsia="Times New Roman" w:hAnsi="Times New Roman" w:cs="Times New Roman"/>
                <w:color w:val="000000"/>
                <w:sz w:val="24"/>
                <w:szCs w:val="24"/>
              </w:rPr>
              <w:t xml:space="preserve"> de la provincia de Chupaca tiene una incidencia positiva en el incremento de las ventas. El objetivo principal del contrato en las </w:t>
            </w:r>
            <w:r w:rsidR="002D2761">
              <w:rPr>
                <w:rFonts w:ascii="Times New Roman" w:eastAsia="Times New Roman" w:hAnsi="Times New Roman" w:cs="Times New Roman"/>
                <w:color w:val="000000"/>
                <w:sz w:val="24"/>
                <w:szCs w:val="24"/>
              </w:rPr>
              <w:t>MYPES</w:t>
            </w:r>
            <w:r>
              <w:rPr>
                <w:rFonts w:ascii="Times New Roman" w:eastAsia="Times New Roman" w:hAnsi="Times New Roman" w:cs="Times New Roman"/>
                <w:color w:val="000000"/>
                <w:sz w:val="24"/>
                <w:szCs w:val="24"/>
              </w:rPr>
              <w:t xml:space="preserve"> de abarrotes es el incremento de sus ingresos y la obtención de mayor rentabilidad, ya que con unidades de transporte generan mayores entradas y por lo tanto ganancias. También es provechoso para el arrendatario por las ventajas financieras, fiscales, opción de compra y tasa de interés.</w:t>
            </w:r>
          </w:p>
        </w:tc>
      </w:tr>
      <w:tr w:rsidR="003525DB" w14:paraId="21EF8686" w14:textId="77777777">
        <w:tc>
          <w:tcPr>
            <w:tcW w:w="2127" w:type="dxa"/>
          </w:tcPr>
          <w:p w14:paraId="001B1AB0"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César Valenzuela; Daniela Cruz (2017).</w:t>
            </w:r>
          </w:p>
        </w:tc>
        <w:tc>
          <w:tcPr>
            <w:tcW w:w="1984" w:type="dxa"/>
          </w:tcPr>
          <w:p w14:paraId="2ADB7CCC"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Estudio de caso sobre estrategias para promover la inclusión financiera de pequeños</w:t>
            </w:r>
          </w:p>
          <w:p w14:paraId="414F740E"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productores rurales en Honduras.</w:t>
            </w:r>
          </w:p>
        </w:tc>
        <w:tc>
          <w:tcPr>
            <w:tcW w:w="4388" w:type="dxa"/>
          </w:tcPr>
          <w:p w14:paraId="20240C10" w14:textId="77777777" w:rsidR="003525DB" w:rsidRDefault="00000000" w:rsidP="006A6E1D">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Características de la estrategia de la inclusión financiera de Honduras, vista desde Componentes asociados a la demanda, Asistencia técnica: Acciones que permitan a la población de segmentos excluidos recibir asistencia técnica por parte de instituciones especializadas o las instituciones financieras, con el propósito de que la población objetivo pueda diversificar o fortalecer su actividad económica o bien rentabilizar la inversión de sus créditos.</w:t>
            </w:r>
          </w:p>
        </w:tc>
      </w:tr>
      <w:tr w:rsidR="003525DB" w14:paraId="5FC834DA" w14:textId="77777777">
        <w:tc>
          <w:tcPr>
            <w:tcW w:w="2127" w:type="dxa"/>
          </w:tcPr>
          <w:p w14:paraId="7D088BCE"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Salan </w:t>
            </w:r>
            <w:proofErr w:type="spellStart"/>
            <w:r>
              <w:rPr>
                <w:rFonts w:ascii="Times New Roman" w:eastAsia="Times New Roman" w:hAnsi="Times New Roman" w:cs="Times New Roman"/>
                <w:color w:val="000000"/>
                <w:sz w:val="24"/>
                <w:szCs w:val="24"/>
              </w:rPr>
              <w:t>Tintin</w:t>
            </w:r>
            <w:proofErr w:type="spellEnd"/>
            <w:r>
              <w:rPr>
                <w:rFonts w:ascii="Times New Roman" w:eastAsia="Times New Roman" w:hAnsi="Times New Roman" w:cs="Times New Roman"/>
                <w:color w:val="000000"/>
                <w:sz w:val="24"/>
                <w:szCs w:val="24"/>
              </w:rPr>
              <w:t>, Jessica Dayana (2019).</w:t>
            </w:r>
          </w:p>
        </w:tc>
        <w:tc>
          <w:tcPr>
            <w:tcW w:w="1984" w:type="dxa"/>
          </w:tcPr>
          <w:p w14:paraId="4BE868D4" w14:textId="0DD7544F"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inclusión financiera y la actividad </w:t>
            </w:r>
            <w:r w:rsidR="006A6E1D">
              <w:rPr>
                <w:rFonts w:ascii="Times New Roman" w:eastAsia="Times New Roman" w:hAnsi="Times New Roman" w:cs="Times New Roman"/>
                <w:color w:val="000000"/>
                <w:sz w:val="24"/>
                <w:szCs w:val="24"/>
              </w:rPr>
              <w:t>microempresarial</w:t>
            </w:r>
            <w:r>
              <w:rPr>
                <w:rFonts w:ascii="Times New Roman" w:eastAsia="Times New Roman" w:hAnsi="Times New Roman" w:cs="Times New Roman"/>
                <w:color w:val="000000"/>
                <w:sz w:val="24"/>
                <w:szCs w:val="24"/>
              </w:rPr>
              <w:t xml:space="preserve"> del sector servicios del cantón Baños de Agua Santa.</w:t>
            </w:r>
          </w:p>
        </w:tc>
        <w:tc>
          <w:tcPr>
            <w:tcW w:w="4388" w:type="dxa"/>
          </w:tcPr>
          <w:p w14:paraId="2E0A64C2"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resultado del trabajo de investigación se comprobó que la inclusión financiera si influye positivamente sobre la actividad micro empresarial del sector servicios del cantón de Baños de Agua Santa a través del microcrédito que las microempresas del sector servicios acceden para financiar sus gastos, tomando en cuenta que ambas variables poseen una relación muy fuerte la una depende de la otra para salir adelante, por ende, las microempresas por falta de capital propio acuden a adquirir microcréditos para continuar en su negocio.</w:t>
            </w:r>
          </w:p>
        </w:tc>
      </w:tr>
      <w:tr w:rsidR="003525DB" w14:paraId="1BEAFF76" w14:textId="77777777">
        <w:tc>
          <w:tcPr>
            <w:tcW w:w="2127" w:type="dxa"/>
          </w:tcPr>
          <w:p w14:paraId="1EA068E3"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Nancy Sánchez Aguilar; María </w:t>
            </w:r>
            <w:r>
              <w:rPr>
                <w:rFonts w:ascii="Times New Roman" w:eastAsia="Times New Roman" w:hAnsi="Times New Roman" w:cs="Times New Roman"/>
                <w:color w:val="000000"/>
                <w:sz w:val="24"/>
                <w:szCs w:val="24"/>
              </w:rPr>
              <w:lastRenderedPageBreak/>
              <w:t>Alejandra Carretero Larrea; Miguel Ángel Viramontes Romero; María Angélica Martínez Arizpe; Maricarmen Rico Galeana (2022).</w:t>
            </w:r>
          </w:p>
        </w:tc>
        <w:tc>
          <w:tcPr>
            <w:tcW w:w="1984" w:type="dxa"/>
          </w:tcPr>
          <w:p w14:paraId="0AE49034"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La cultura financiera en las </w:t>
            </w:r>
            <w:r>
              <w:rPr>
                <w:rFonts w:ascii="Times New Roman" w:eastAsia="Times New Roman" w:hAnsi="Times New Roman" w:cs="Times New Roman"/>
                <w:color w:val="000000"/>
                <w:sz w:val="24"/>
                <w:szCs w:val="24"/>
              </w:rPr>
              <w:lastRenderedPageBreak/>
              <w:t xml:space="preserve">MYPES de El Marqués y Pedro Escobedo, </w:t>
            </w:r>
            <w:proofErr w:type="spellStart"/>
            <w:r>
              <w:rPr>
                <w:rFonts w:ascii="Times New Roman" w:eastAsia="Times New Roman" w:hAnsi="Times New Roman" w:cs="Times New Roman"/>
                <w:color w:val="000000"/>
                <w:sz w:val="24"/>
                <w:szCs w:val="24"/>
              </w:rPr>
              <w:t>Qro</w:t>
            </w:r>
            <w:proofErr w:type="spellEnd"/>
            <w:r>
              <w:rPr>
                <w:rFonts w:ascii="Times New Roman" w:eastAsia="Times New Roman" w:hAnsi="Times New Roman" w:cs="Times New Roman"/>
                <w:color w:val="000000"/>
                <w:sz w:val="24"/>
                <w:szCs w:val="24"/>
              </w:rPr>
              <w:t>: un análisis descriptivo.</w:t>
            </w:r>
          </w:p>
        </w:tc>
        <w:tc>
          <w:tcPr>
            <w:tcW w:w="4388" w:type="dxa"/>
          </w:tcPr>
          <w:p w14:paraId="7D7CD628"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El conocimiento de los instrumentos y conceptos financieros por los empresarios </w:t>
            </w:r>
            <w:r>
              <w:rPr>
                <w:rFonts w:ascii="Times New Roman" w:eastAsia="Times New Roman" w:hAnsi="Times New Roman" w:cs="Times New Roman"/>
                <w:color w:val="000000"/>
                <w:sz w:val="24"/>
                <w:szCs w:val="24"/>
              </w:rPr>
              <w:lastRenderedPageBreak/>
              <w:t>incide positivamente en la toma de decisiones de inversión y financiamiento de la Micro y Pequeña Empresa.</w:t>
            </w:r>
          </w:p>
          <w:p w14:paraId="3930B05F" w14:textId="77777777" w:rsidR="003525DB" w:rsidRDefault="00000000" w:rsidP="002D276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lo referente a Finanzas personales, los resultados encontrados en el documento coinciden con los encontrados en artículos como el de Pérez (2021), que concluye en que regularmente los microempresarios no tienen conocimientos financieros en lo que refiere a la administración de sus finanzas y casi siempre no suelen ahorrar, y las inversiones que realizan no generan las ganancias esperadas.</w:t>
            </w:r>
          </w:p>
        </w:tc>
      </w:tr>
    </w:tbl>
    <w:p w14:paraId="21570844" w14:textId="77777777" w:rsidR="003525DB" w:rsidRDefault="00000000">
      <w:pPr>
        <w:spacing w:line="360" w:lineRule="auto"/>
        <w:jc w:val="both"/>
        <w:rPr>
          <w:i/>
        </w:rPr>
      </w:pPr>
      <w:r>
        <w:rPr>
          <w:b/>
          <w:i/>
        </w:rPr>
        <w:lastRenderedPageBreak/>
        <w:t xml:space="preserve">Fuente: </w:t>
      </w:r>
      <w:r>
        <w:rPr>
          <w:i/>
        </w:rPr>
        <w:t>Elaboración propia</w:t>
      </w:r>
    </w:p>
    <w:p w14:paraId="7FA59C58" w14:textId="77777777" w:rsidR="006A6E1D" w:rsidRDefault="006A6E1D" w:rsidP="006A6E1D">
      <w:pPr>
        <w:spacing w:line="276" w:lineRule="auto"/>
        <w:jc w:val="both"/>
      </w:pPr>
    </w:p>
    <w:p w14:paraId="22E4ED99" w14:textId="2B087CB9" w:rsidR="003525DB" w:rsidRDefault="00000000" w:rsidP="006A6E1D">
      <w:pPr>
        <w:spacing w:line="276" w:lineRule="auto"/>
        <w:jc w:val="both"/>
      </w:pPr>
      <w:r>
        <w:t>Cabe resaltar que para Honduras no se encontraron artículos científicos que relacionen las variables de inclusión y rentabilidad financiera en la PYME; sin embargo, los que se encontraron sobre inclusión financiera, están enfocados a la industria de la agricultura, que podría servir en una futura investigación.</w:t>
      </w:r>
    </w:p>
    <w:p w14:paraId="437BD8B4" w14:textId="77777777" w:rsidR="003525DB" w:rsidRDefault="003525DB">
      <w:pPr>
        <w:pBdr>
          <w:top w:val="nil"/>
          <w:left w:val="nil"/>
          <w:bottom w:val="nil"/>
          <w:right w:val="nil"/>
          <w:between w:val="nil"/>
        </w:pBdr>
        <w:shd w:val="clear" w:color="auto" w:fill="FFFFFF"/>
        <w:spacing w:line="360" w:lineRule="auto"/>
        <w:jc w:val="both"/>
        <w:rPr>
          <w:color w:val="000000"/>
        </w:rPr>
      </w:pPr>
    </w:p>
    <w:p w14:paraId="01354E3B" w14:textId="77777777" w:rsidR="003525DB" w:rsidRDefault="00000000">
      <w:pPr>
        <w:numPr>
          <w:ilvl w:val="0"/>
          <w:numId w:val="1"/>
        </w:numPr>
        <w:pBdr>
          <w:top w:val="nil"/>
          <w:left w:val="nil"/>
          <w:bottom w:val="nil"/>
          <w:right w:val="nil"/>
          <w:between w:val="nil"/>
        </w:pBdr>
        <w:shd w:val="clear" w:color="auto" w:fill="FFFFFF"/>
        <w:spacing w:line="360" w:lineRule="auto"/>
        <w:jc w:val="both"/>
        <w:rPr>
          <w:b/>
        </w:rPr>
      </w:pPr>
      <w:r>
        <w:rPr>
          <w:b/>
        </w:rPr>
        <w:t>Conclusiones</w:t>
      </w:r>
    </w:p>
    <w:p w14:paraId="7506E2EE" w14:textId="77777777" w:rsidR="003525DB" w:rsidRDefault="00000000" w:rsidP="006A6E1D">
      <w:pPr>
        <w:spacing w:line="276" w:lineRule="auto"/>
        <w:jc w:val="both"/>
      </w:pPr>
      <w:r>
        <w:t>Como se puede observar, las diversas investigaciones de diferentes regiones del continente americano, corroboran la existencia de una relación directa que cuando los pequeños empresarios tienen acceso a los diferentes instrumentos financieros, así como el tener conocimiento del uso adecuado de estos (Tabla 2), tienden a ser que sus pequeñas empresas sean más rentables, ya que tienen mayor conocimientos de los diferentes productos financieros disponibles en el mercado, lo que favorece a la PYME, sea porque pueden ofrecer mejores servicios y también aumentar sus ventas.</w:t>
      </w:r>
    </w:p>
    <w:p w14:paraId="243CB8D4" w14:textId="77777777" w:rsidR="003525DB" w:rsidRDefault="003525DB" w:rsidP="006A6E1D">
      <w:pPr>
        <w:spacing w:line="276" w:lineRule="auto"/>
        <w:jc w:val="both"/>
      </w:pPr>
    </w:p>
    <w:p w14:paraId="488B5F7A" w14:textId="77777777" w:rsidR="003525DB" w:rsidRDefault="00000000" w:rsidP="006A6E1D">
      <w:pPr>
        <w:spacing w:line="276" w:lineRule="auto"/>
        <w:jc w:val="both"/>
      </w:pPr>
      <w:r>
        <w:t>Para ello, es necesario que, a nivel de país, se creen productos financieros direccionados a la PYME, que de acuerdo con Zuleta (2016), se debe orientar la educación financiera hacia el uso de un portafolio amplio de productos financieros por parte de las pymes de acuerdo con sus necesidades.</w:t>
      </w:r>
    </w:p>
    <w:p w14:paraId="25DAA995" w14:textId="77777777" w:rsidR="003525DB" w:rsidRDefault="003525DB" w:rsidP="006A6E1D">
      <w:pPr>
        <w:spacing w:line="276" w:lineRule="auto"/>
        <w:jc w:val="both"/>
      </w:pPr>
    </w:p>
    <w:p w14:paraId="50A87FEF" w14:textId="77777777" w:rsidR="003525DB" w:rsidRDefault="00000000" w:rsidP="006A6E1D">
      <w:pPr>
        <w:spacing w:line="276" w:lineRule="auto"/>
        <w:jc w:val="both"/>
      </w:pPr>
      <w:r>
        <w:t>De igual manera, es importante destacar que existen diversas metodologías que      fueron utilizadas en la elaboración de los artículos mencionados anteriormente, en virtud de apoyar en posibles futuras investigaciones sobre el tema de inclusión financiera en Honduras.</w:t>
      </w:r>
    </w:p>
    <w:p w14:paraId="6B40E69D" w14:textId="77777777" w:rsidR="003525DB" w:rsidRDefault="003525DB">
      <w:pPr>
        <w:pBdr>
          <w:top w:val="nil"/>
          <w:left w:val="nil"/>
          <w:bottom w:val="nil"/>
          <w:right w:val="nil"/>
          <w:between w:val="nil"/>
        </w:pBdr>
        <w:shd w:val="clear" w:color="auto" w:fill="FFFFFF"/>
        <w:spacing w:line="360" w:lineRule="auto"/>
        <w:jc w:val="both"/>
      </w:pPr>
    </w:p>
    <w:p w14:paraId="45620F02" w14:textId="77777777" w:rsidR="006A6E1D" w:rsidRDefault="006A6E1D">
      <w:pPr>
        <w:pBdr>
          <w:top w:val="nil"/>
          <w:left w:val="nil"/>
          <w:bottom w:val="nil"/>
          <w:right w:val="nil"/>
          <w:between w:val="nil"/>
        </w:pBdr>
        <w:shd w:val="clear" w:color="auto" w:fill="FFFFFF"/>
        <w:spacing w:line="360" w:lineRule="auto"/>
        <w:jc w:val="both"/>
      </w:pPr>
    </w:p>
    <w:p w14:paraId="7513A506" w14:textId="77777777" w:rsidR="006A6E1D" w:rsidRDefault="006A6E1D">
      <w:pPr>
        <w:pBdr>
          <w:top w:val="nil"/>
          <w:left w:val="nil"/>
          <w:bottom w:val="nil"/>
          <w:right w:val="nil"/>
          <w:between w:val="nil"/>
        </w:pBdr>
        <w:shd w:val="clear" w:color="auto" w:fill="FFFFFF"/>
        <w:spacing w:line="360" w:lineRule="auto"/>
        <w:jc w:val="both"/>
      </w:pPr>
    </w:p>
    <w:p w14:paraId="04731FD8" w14:textId="77777777" w:rsidR="006A6E1D" w:rsidRDefault="006A6E1D">
      <w:pPr>
        <w:pBdr>
          <w:top w:val="nil"/>
          <w:left w:val="nil"/>
          <w:bottom w:val="nil"/>
          <w:right w:val="nil"/>
          <w:between w:val="nil"/>
        </w:pBdr>
        <w:shd w:val="clear" w:color="auto" w:fill="FFFFFF"/>
        <w:spacing w:line="360" w:lineRule="auto"/>
        <w:jc w:val="both"/>
      </w:pPr>
    </w:p>
    <w:p w14:paraId="45A7D8C1" w14:textId="77777777" w:rsidR="006A6E1D" w:rsidRDefault="006A6E1D">
      <w:pPr>
        <w:pBdr>
          <w:top w:val="nil"/>
          <w:left w:val="nil"/>
          <w:bottom w:val="nil"/>
          <w:right w:val="nil"/>
          <w:between w:val="nil"/>
        </w:pBdr>
        <w:shd w:val="clear" w:color="auto" w:fill="FFFFFF"/>
        <w:spacing w:line="360" w:lineRule="auto"/>
        <w:jc w:val="both"/>
      </w:pPr>
    </w:p>
    <w:p w14:paraId="33DBF95D" w14:textId="77777777" w:rsidR="003525DB" w:rsidRDefault="00000000">
      <w:pPr>
        <w:numPr>
          <w:ilvl w:val="0"/>
          <w:numId w:val="1"/>
        </w:numPr>
        <w:pBdr>
          <w:top w:val="nil"/>
          <w:left w:val="nil"/>
          <w:bottom w:val="nil"/>
          <w:right w:val="nil"/>
          <w:between w:val="nil"/>
        </w:pBdr>
        <w:shd w:val="clear" w:color="auto" w:fill="FFFFFF"/>
        <w:spacing w:line="360" w:lineRule="auto"/>
        <w:jc w:val="both"/>
        <w:rPr>
          <w:b/>
        </w:rPr>
      </w:pPr>
      <w:r>
        <w:rPr>
          <w:b/>
        </w:rPr>
        <w:lastRenderedPageBreak/>
        <w:t>Referencias</w:t>
      </w:r>
    </w:p>
    <w:p w14:paraId="54834350" w14:textId="77777777" w:rsidR="003525DB" w:rsidRDefault="00000000" w:rsidP="006A6E1D">
      <w:pPr>
        <w:spacing w:line="276" w:lineRule="auto"/>
        <w:ind w:left="284" w:hanging="284"/>
        <w:jc w:val="both"/>
      </w:pPr>
      <w:r>
        <w:t xml:space="preserve">Aguilar, N. S., Larrea, M. A., Romero, M. Á., Arizpe, M. A., &amp; Galeana, M. R. (2022). La cultura financiera en las MYPES de El Marqués y Pedro Escobedo, </w:t>
      </w:r>
      <w:proofErr w:type="spellStart"/>
      <w:r>
        <w:t>Qro</w:t>
      </w:r>
      <w:proofErr w:type="spellEnd"/>
      <w:r>
        <w:t>: un análisis descriptivo. Revista Electrónica sobre Cuerpos Académicos y Grupos de Investigación, Vol. 9, Núm. 17.</w:t>
      </w:r>
    </w:p>
    <w:p w14:paraId="4ABA2C41" w14:textId="77777777" w:rsidR="003525DB" w:rsidRDefault="00000000" w:rsidP="006A6E1D">
      <w:pPr>
        <w:spacing w:line="276" w:lineRule="auto"/>
        <w:ind w:left="284" w:hanging="284"/>
        <w:jc w:val="both"/>
      </w:pPr>
      <w:r>
        <w:t>Anaya Narváez, A. R., Buelvas Parra, J. A., &amp; Romero Álvarez, Y. (2020). Pobreza e inclusión financiera en el municipio de Montería, Colombia. Revista de ciencias sociales, 128-143.</w:t>
      </w:r>
    </w:p>
    <w:p w14:paraId="63408B6F" w14:textId="77777777" w:rsidR="003525DB" w:rsidRDefault="00000000" w:rsidP="006A6E1D">
      <w:pPr>
        <w:spacing w:line="276" w:lineRule="auto"/>
        <w:ind w:left="284" w:hanging="284"/>
        <w:jc w:val="both"/>
      </w:pPr>
      <w:proofErr w:type="spellStart"/>
      <w:r>
        <w:t>Cairampoma</w:t>
      </w:r>
      <w:proofErr w:type="spellEnd"/>
      <w:r>
        <w:t>, M. R. (2015). Tipos de Investigación científica: Una simplificación de la complicada incoherente nomenclatura y clasificación. REDVET. Revista Electrónica de Veterinaria, 1-14.</w:t>
      </w:r>
    </w:p>
    <w:p w14:paraId="3E3208A7" w14:textId="77777777" w:rsidR="003525DB" w:rsidRDefault="00000000" w:rsidP="006A6E1D">
      <w:pPr>
        <w:spacing w:line="276" w:lineRule="auto"/>
        <w:ind w:left="284" w:hanging="284"/>
        <w:jc w:val="both"/>
      </w:pPr>
      <w:r>
        <w:t>Chacón, G. (2007). La Contabilidad de Costos, los Sistemas de Control de Gestión y la Rentabilidad Empresarial. Actualidad Contable Faces, 29-45.</w:t>
      </w:r>
    </w:p>
    <w:p w14:paraId="2082B4A7" w14:textId="77777777" w:rsidR="003525DB" w:rsidRDefault="00000000" w:rsidP="006A6E1D">
      <w:pPr>
        <w:spacing w:line="276" w:lineRule="auto"/>
        <w:ind w:left="284" w:hanging="284"/>
        <w:jc w:val="both"/>
      </w:pPr>
      <w:r>
        <w:t>Colombia, B. d. (2014). Reporte de Estabilidad Financiera. Bogotá D.C, Colombia: Banco de la República de Colombia.</w:t>
      </w:r>
    </w:p>
    <w:p w14:paraId="5159372B" w14:textId="77777777" w:rsidR="003525DB" w:rsidRDefault="00000000" w:rsidP="006A6E1D">
      <w:pPr>
        <w:spacing w:line="276" w:lineRule="auto"/>
        <w:ind w:left="284" w:hanging="284"/>
        <w:jc w:val="both"/>
      </w:pPr>
      <w:r>
        <w:t>COMISIÓN NACIONAL DE BANCOS Y SEGUROS (CNBS). (2020). Perfil del Sistema Asegurador de Honduras. Tegucigalpa.</w:t>
      </w:r>
    </w:p>
    <w:p w14:paraId="66A657EB" w14:textId="77777777" w:rsidR="003525DB" w:rsidRDefault="00000000" w:rsidP="006A6E1D">
      <w:pPr>
        <w:spacing w:line="276" w:lineRule="auto"/>
        <w:ind w:left="284" w:hanging="284"/>
        <w:jc w:val="both"/>
      </w:pPr>
      <w:r>
        <w:t>Fernández-</w:t>
      </w:r>
      <w:proofErr w:type="spellStart"/>
      <w:r>
        <w:t>Olit</w:t>
      </w:r>
      <w:proofErr w:type="spellEnd"/>
      <w:r>
        <w:t>, B. (2020). Modelo bancario e inclusión financiera del territorio español durante la Gran Recesión: un análisis comparativo entre Banca Social, Cooperativa y Comercial. REVESCO. Revista de Estudios Cooperativos, 1-17.</w:t>
      </w:r>
    </w:p>
    <w:p w14:paraId="1687B069" w14:textId="77777777" w:rsidR="003525DB" w:rsidRDefault="00000000" w:rsidP="006A6E1D">
      <w:pPr>
        <w:spacing w:line="276" w:lineRule="auto"/>
        <w:ind w:left="284" w:hanging="284"/>
        <w:jc w:val="both"/>
      </w:pPr>
      <w:r>
        <w:t>Flores, M. C., Gómez, D. O., Briones, J. B., &amp; Cervantes, G. P. (2013). Rentabilidad y competitividad en la PYME. Ciencia Administrativa, 80-86.</w:t>
      </w:r>
    </w:p>
    <w:p w14:paraId="6E875E0B" w14:textId="77777777" w:rsidR="003525DB" w:rsidRDefault="00000000" w:rsidP="006A6E1D">
      <w:pPr>
        <w:spacing w:line="276" w:lineRule="auto"/>
        <w:ind w:left="284" w:hanging="284"/>
        <w:jc w:val="both"/>
      </w:pPr>
      <w:r>
        <w:t>Gómez Vargas, M., Galeano Higuita, C., &amp; Jaramillo Muñoz, D. A. (2015). EL ESTADO DEL ARTE: UNA METODOLOGÍA DE INVESTIGACIÓN. Revista Colombiana de Ciencias Sociales, 423-442.</w:t>
      </w:r>
    </w:p>
    <w:p w14:paraId="5A2FCB26" w14:textId="77777777" w:rsidR="003525DB" w:rsidRDefault="00000000" w:rsidP="006A6E1D">
      <w:pPr>
        <w:spacing w:line="276" w:lineRule="auto"/>
        <w:ind w:left="284" w:hanging="284"/>
        <w:jc w:val="both"/>
      </w:pPr>
      <w:r w:rsidRPr="0037168D">
        <w:rPr>
          <w:lang w:val="en-US"/>
        </w:rPr>
        <w:t xml:space="preserve">Lusardi, A., &amp; Mitchell, O. S. (2016). </w:t>
      </w:r>
      <w:r>
        <w:t xml:space="preserve">LA IMPORTANCIA ECONÓMICA DE LA ALFABETIZACIÓN FINANCIERA: TEORÍA Y PRUEBAS. Boletín | </w:t>
      </w:r>
      <w:proofErr w:type="spellStart"/>
      <w:r>
        <w:t>cemla</w:t>
      </w:r>
      <w:proofErr w:type="spellEnd"/>
      <w:r>
        <w:t>, 301-348.</w:t>
      </w:r>
    </w:p>
    <w:p w14:paraId="76915415" w14:textId="77777777" w:rsidR="003525DB" w:rsidRDefault="00000000" w:rsidP="006A6E1D">
      <w:pPr>
        <w:spacing w:line="276" w:lineRule="auto"/>
        <w:ind w:left="284" w:hanging="284"/>
        <w:jc w:val="both"/>
      </w:pPr>
      <w:r>
        <w:t>Morillo, M. (2001). Rentabilidad Financiera y Reducción de Costos. Red de Revistas Científicas de América Latina, el Caribe, España y Portugal, 35-48.</w:t>
      </w:r>
    </w:p>
    <w:p w14:paraId="40539D52" w14:textId="77777777" w:rsidR="003525DB" w:rsidRDefault="00000000" w:rsidP="006A6E1D">
      <w:pPr>
        <w:spacing w:line="276" w:lineRule="auto"/>
        <w:ind w:left="284" w:hanging="284"/>
        <w:jc w:val="both"/>
      </w:pPr>
      <w:r>
        <w:t>Narváez, A. A., Parra, J. A., &amp; Álvarez, Y. R. (2020). Pobreza e inclusión financiera en el municipio de Montería, Colombia. Revista de Ciencias Sociales (RCS), 128-143.</w:t>
      </w:r>
    </w:p>
    <w:p w14:paraId="62C717A5" w14:textId="77777777" w:rsidR="003525DB" w:rsidRDefault="00000000" w:rsidP="006A6E1D">
      <w:pPr>
        <w:spacing w:line="276" w:lineRule="auto"/>
        <w:ind w:left="284" w:hanging="284"/>
        <w:jc w:val="both"/>
      </w:pPr>
      <w:r>
        <w:t>Rivera, A. H., &amp; Rojas, L. R. (2020). Brecha de género tecnológica en la educación financiera universitaria en México. Revista Venezolana de Gerencia (RVG), 48- 64.</w:t>
      </w:r>
    </w:p>
    <w:p w14:paraId="0AE31260" w14:textId="77777777" w:rsidR="003525DB" w:rsidRDefault="00000000" w:rsidP="006A6E1D">
      <w:pPr>
        <w:spacing w:line="276" w:lineRule="auto"/>
        <w:ind w:left="284" w:hanging="284"/>
        <w:jc w:val="both"/>
      </w:pPr>
      <w:r>
        <w:t xml:space="preserve">Roa, M. J. (2013). Inclusión financiera en América Latina y el Caribe: acceso, uso y calidad. Boletín del </w:t>
      </w:r>
      <w:proofErr w:type="spellStart"/>
      <w:r>
        <w:t>cemla</w:t>
      </w:r>
      <w:proofErr w:type="spellEnd"/>
      <w:r>
        <w:t>, 121-148.</w:t>
      </w:r>
    </w:p>
    <w:p w14:paraId="4444A2E6" w14:textId="77777777" w:rsidR="003525DB" w:rsidRDefault="00000000" w:rsidP="006A6E1D">
      <w:pPr>
        <w:spacing w:line="276" w:lineRule="auto"/>
        <w:ind w:left="284" w:hanging="284"/>
        <w:jc w:val="both"/>
      </w:pPr>
      <w:proofErr w:type="spellStart"/>
      <w:r>
        <w:t>Rutty</w:t>
      </w:r>
      <w:proofErr w:type="spellEnd"/>
      <w:r>
        <w:t xml:space="preserve">, J. A., &amp; Quispe, I. G. (2016). Impacto de la inclusión financiera en el crecimiento económico de las </w:t>
      </w:r>
      <w:proofErr w:type="spellStart"/>
      <w:r>
        <w:t>Mypes</w:t>
      </w:r>
      <w:proofErr w:type="spellEnd"/>
      <w:r>
        <w:t xml:space="preserve"> de la provincia de Chupaca. Perú: Universidad Nacional del Centro del Perú.</w:t>
      </w:r>
    </w:p>
    <w:p w14:paraId="182A29F9" w14:textId="77777777" w:rsidR="003525DB" w:rsidRDefault="00000000" w:rsidP="006A6E1D">
      <w:pPr>
        <w:spacing w:line="276" w:lineRule="auto"/>
        <w:ind w:left="284" w:hanging="284"/>
        <w:jc w:val="both"/>
      </w:pPr>
      <w:proofErr w:type="spellStart"/>
      <w:r>
        <w:t>Slafer</w:t>
      </w:r>
      <w:proofErr w:type="spellEnd"/>
      <w:r>
        <w:t>, G. A. (2009). ¿Cómo escribir un artículo científico? Revista de Investigación en Educación, 124-132.</w:t>
      </w:r>
    </w:p>
    <w:p w14:paraId="2498F5D3" w14:textId="77777777" w:rsidR="003525DB" w:rsidRDefault="00000000" w:rsidP="006A6E1D">
      <w:pPr>
        <w:spacing w:line="276" w:lineRule="auto"/>
        <w:ind w:left="284" w:hanging="284"/>
        <w:jc w:val="both"/>
      </w:pPr>
      <w:r>
        <w:t>SOSA, M. F., ACEVEDO, Á. E., &amp; VERGES, I. Y. (2020). Inversión del capital humano para la competitividad en la manufactura intermedia de la industria automotriz hondureña. Revista Espacios, 230-244.</w:t>
      </w:r>
    </w:p>
    <w:p w14:paraId="1B1B5441" w14:textId="77777777" w:rsidR="003525DB" w:rsidRDefault="00000000" w:rsidP="006A6E1D">
      <w:pPr>
        <w:spacing w:line="276" w:lineRule="auto"/>
        <w:ind w:left="284" w:hanging="284"/>
        <w:jc w:val="both"/>
      </w:pPr>
      <w:proofErr w:type="spellStart"/>
      <w:r>
        <w:lastRenderedPageBreak/>
        <w:t>Tintin</w:t>
      </w:r>
      <w:proofErr w:type="spellEnd"/>
      <w:r>
        <w:t xml:space="preserve">, J. D. (2019). La inclusión financiera y la actividad </w:t>
      </w:r>
      <w:proofErr w:type="gramStart"/>
      <w:r>
        <w:t>micro empresarial</w:t>
      </w:r>
      <w:proofErr w:type="gramEnd"/>
      <w:r>
        <w:t xml:space="preserve"> del sector servicios del cantón Baños de Agua Santa. Ecuador: Universidad Técnica de Ambato.</w:t>
      </w:r>
    </w:p>
    <w:p w14:paraId="027C08B9" w14:textId="77777777" w:rsidR="003525DB" w:rsidRDefault="00000000" w:rsidP="006A6E1D">
      <w:pPr>
        <w:spacing w:line="276" w:lineRule="auto"/>
        <w:ind w:left="284" w:hanging="284"/>
        <w:jc w:val="both"/>
      </w:pPr>
      <w:r>
        <w:t xml:space="preserve">Valdez-Juárez, L. E., Ramos-Escobar, E. A., &amp; Borboa-Álvarez, E. P. (2019). Las Capacidades dinámicas y la orientación emprendedora: fuente de innovación y rentabilidad en la Pyme Mexicana. Small Business International </w:t>
      </w:r>
      <w:proofErr w:type="spellStart"/>
      <w:r>
        <w:t>Review</w:t>
      </w:r>
      <w:proofErr w:type="spellEnd"/>
      <w:r>
        <w:t>, 49-66.</w:t>
      </w:r>
    </w:p>
    <w:p w14:paraId="6B676324" w14:textId="77777777" w:rsidR="003525DB" w:rsidRDefault="00000000" w:rsidP="006A6E1D">
      <w:pPr>
        <w:spacing w:line="276" w:lineRule="auto"/>
        <w:ind w:left="284" w:hanging="284"/>
        <w:jc w:val="both"/>
      </w:pPr>
      <w:r>
        <w:t>Valenzuela, C., &amp; Cruz, D. (2017). Estudio de caso sobre estrategias para promover la inclusión financiera de pequeños productores rurales de Honduras. México: La Comisión Económica para América Latina y el Caribe (CEPAL).</w:t>
      </w:r>
    </w:p>
    <w:p w14:paraId="78535649" w14:textId="77777777" w:rsidR="003525DB" w:rsidRDefault="00000000" w:rsidP="006A6E1D">
      <w:pPr>
        <w:spacing w:line="276" w:lineRule="auto"/>
        <w:ind w:left="284" w:hanging="284"/>
        <w:jc w:val="both"/>
      </w:pPr>
      <w:r>
        <w:t>Valores, C. N. (01 de marzo de 2016). Gobierno de México. Obtenido de https://www.gob.mx/cnbv/articulos/inclusion-financiera-cnbv#:~:text=En%20M%C3%A9xico%2C%20la%20Inclusi%C3%B3n%20Financiera,los%20segmentos%20de%20la%20poblaci%C3%B3n.</w:t>
      </w:r>
    </w:p>
    <w:p w14:paraId="3022292E" w14:textId="77777777" w:rsidR="003525DB" w:rsidRDefault="00000000" w:rsidP="006A6E1D">
      <w:pPr>
        <w:spacing w:line="276" w:lineRule="auto"/>
        <w:ind w:left="284" w:hanging="284"/>
        <w:jc w:val="both"/>
      </w:pPr>
      <w:r>
        <w:t xml:space="preserve">Villada, F., López-Lezama, J. M., &amp; Muñoz-Galeano, N. (2017). El Papel de la Educación Financiera en la Formación de Profesionales de la Ingeniería. Formación </w:t>
      </w:r>
      <w:proofErr w:type="gramStart"/>
      <w:r>
        <w:t>Universitaria ,</w:t>
      </w:r>
      <w:proofErr w:type="gramEnd"/>
      <w:r>
        <w:t xml:space="preserve"> 13-22.</w:t>
      </w:r>
    </w:p>
    <w:p w14:paraId="29928A87" w14:textId="77777777" w:rsidR="003525DB" w:rsidRDefault="00000000" w:rsidP="006A6E1D">
      <w:pPr>
        <w:spacing w:line="276" w:lineRule="auto"/>
        <w:ind w:left="284" w:hanging="284"/>
        <w:jc w:val="both"/>
      </w:pPr>
      <w:r>
        <w:t xml:space="preserve">Zuleta, L. A. (2016). Inclusión financiera de la pequeña y mediana empresa en Colombia. Santiago: CEPAL - Serie Financiamiento para el Desarrollo </w:t>
      </w:r>
      <w:proofErr w:type="spellStart"/>
      <w:r>
        <w:t>N°</w:t>
      </w:r>
      <w:proofErr w:type="spellEnd"/>
      <w:r>
        <w:t xml:space="preserve"> 262</w:t>
      </w:r>
    </w:p>
    <w:p w14:paraId="75D91516" w14:textId="77777777" w:rsidR="003525DB" w:rsidRDefault="003525DB">
      <w:pPr>
        <w:spacing w:line="360" w:lineRule="auto"/>
        <w:jc w:val="both"/>
      </w:pPr>
    </w:p>
    <w:sectPr w:rsidR="003525DB">
      <w:type w:val="continuous"/>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CFFF" w14:textId="77777777" w:rsidR="001754DF" w:rsidRDefault="001754DF">
      <w:r>
        <w:separator/>
      </w:r>
    </w:p>
  </w:endnote>
  <w:endnote w:type="continuationSeparator" w:id="0">
    <w:p w14:paraId="69B0EC86" w14:textId="77777777" w:rsidR="001754DF" w:rsidRDefault="0017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1713" w14:textId="77777777" w:rsidR="003525DB" w:rsidRDefault="003525D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B4C8" w14:textId="77777777" w:rsidR="003525DB" w:rsidRDefault="003525DB">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5790" w14:textId="77777777" w:rsidR="003525DB" w:rsidRDefault="003525D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6BC5" w14:textId="77777777" w:rsidR="001754DF" w:rsidRDefault="001754DF">
      <w:r>
        <w:separator/>
      </w:r>
    </w:p>
  </w:footnote>
  <w:footnote w:type="continuationSeparator" w:id="0">
    <w:p w14:paraId="206C4591" w14:textId="77777777" w:rsidR="001754DF" w:rsidRDefault="001754DF">
      <w:r>
        <w:continuationSeparator/>
      </w:r>
    </w:p>
  </w:footnote>
  <w:footnote w:id="1">
    <w:p w14:paraId="4193E6F6" w14:textId="5836EAB7" w:rsidR="0037168D" w:rsidRPr="0037168D" w:rsidRDefault="0037168D">
      <w:pPr>
        <w:pStyle w:val="Textonotapie"/>
        <w:rPr>
          <w:sz w:val="22"/>
          <w:szCs w:val="22"/>
        </w:rPr>
      </w:pPr>
      <w:r w:rsidRPr="0037168D">
        <w:rPr>
          <w:rStyle w:val="Refdenotaalpie"/>
          <w:sz w:val="22"/>
          <w:szCs w:val="22"/>
        </w:rPr>
        <w:footnoteRef/>
      </w:r>
      <w:r w:rsidRPr="0037168D">
        <w:rPr>
          <w:sz w:val="22"/>
          <w:szCs w:val="22"/>
        </w:rPr>
        <w:t xml:space="preserve"> </w:t>
      </w:r>
      <w:r w:rsidRPr="0037168D">
        <w:rPr>
          <w:sz w:val="22"/>
          <w:szCs w:val="22"/>
        </w:rPr>
        <w:t>Posgrado de la Facultad de Ciencias Económicas,</w:t>
      </w:r>
      <w:r w:rsidR="00E47961">
        <w:rPr>
          <w:sz w:val="22"/>
          <w:szCs w:val="22"/>
        </w:rPr>
        <w:t xml:space="preserve"> Administrativas y Contables,</w:t>
      </w:r>
      <w:r w:rsidRPr="0037168D">
        <w:rPr>
          <w:sz w:val="22"/>
          <w:szCs w:val="22"/>
        </w:rPr>
        <w:t xml:space="preserve"> Universidad Nacional Autónoma de Honduras,</w:t>
      </w:r>
      <w:r>
        <w:rPr>
          <w:sz w:val="22"/>
          <w:szCs w:val="22"/>
        </w:rPr>
        <w:t xml:space="preserve"> ORCID: </w:t>
      </w:r>
      <w:hyperlink r:id="rId1" w:history="1">
        <w:r w:rsidRPr="00EF35D2">
          <w:rPr>
            <w:rStyle w:val="Hipervnculo"/>
            <w:sz w:val="24"/>
            <w:szCs w:val="24"/>
          </w:rPr>
          <w:t>https://orcid.org/0000-0002-3143-4253</w:t>
        </w:r>
      </w:hyperlink>
      <w:r>
        <w:t xml:space="preserve">, Correo electrónico: </w:t>
      </w:r>
      <w:hyperlink r:id="rId2" w:history="1">
        <w:r w:rsidRPr="00BF10DA">
          <w:rPr>
            <w:rStyle w:val="Hipervnculo"/>
            <w:sz w:val="24"/>
            <w:szCs w:val="24"/>
          </w:rPr>
          <w:t>gaho01988@gmail.com</w:t>
        </w:r>
      </w:hyperlink>
      <w:r w:rsidR="00907652">
        <w:rPr>
          <w:sz w:val="24"/>
          <w:szCs w:val="24"/>
        </w:rPr>
        <w:t>, Tegucigalpa, Honduras.</w:t>
      </w:r>
    </w:p>
  </w:footnote>
  <w:footnote w:id="2">
    <w:p w14:paraId="36173A84" w14:textId="16B5C8D5" w:rsidR="00E47961" w:rsidRPr="00E47961" w:rsidRDefault="00907652" w:rsidP="00E47961">
      <w:pPr>
        <w:pStyle w:val="Textonotapie"/>
        <w:jc w:val="both"/>
      </w:pPr>
      <w:r>
        <w:rPr>
          <w:rStyle w:val="Refdenotaalpie"/>
        </w:rPr>
        <w:footnoteRef/>
      </w:r>
      <w:r w:rsidRPr="00E47961">
        <w:t xml:space="preserve"> </w:t>
      </w:r>
      <w:proofErr w:type="spellStart"/>
      <w:r w:rsidR="00E47961" w:rsidRPr="00E47961">
        <w:t>Postgraduate</w:t>
      </w:r>
      <w:proofErr w:type="spellEnd"/>
      <w:r w:rsidR="00E47961" w:rsidRPr="00E47961">
        <w:t xml:space="preserve"> </w:t>
      </w:r>
      <w:proofErr w:type="spellStart"/>
      <w:r w:rsidR="00E47961" w:rsidRPr="00E47961">
        <w:t>program</w:t>
      </w:r>
      <w:proofErr w:type="spellEnd"/>
      <w:r w:rsidR="00E47961" w:rsidRPr="00E47961">
        <w:t xml:space="preserve"> </w:t>
      </w:r>
      <w:proofErr w:type="spellStart"/>
      <w:r w:rsidR="00E47961" w:rsidRPr="00E47961">
        <w:t>from</w:t>
      </w:r>
      <w:proofErr w:type="spellEnd"/>
      <w:r w:rsidR="00E47961" w:rsidRPr="00E47961">
        <w:t xml:space="preserve"> </w:t>
      </w:r>
      <w:proofErr w:type="spellStart"/>
      <w:r w:rsidR="00E47961" w:rsidRPr="00E47961">
        <w:t>the</w:t>
      </w:r>
      <w:proofErr w:type="spellEnd"/>
      <w:r w:rsidR="00E47961" w:rsidRPr="00E47961">
        <w:t xml:space="preserve"> </w:t>
      </w:r>
      <w:proofErr w:type="spellStart"/>
      <w:r w:rsidR="00E47961" w:rsidRPr="00E47961">
        <w:t>Faculty</w:t>
      </w:r>
      <w:proofErr w:type="spellEnd"/>
      <w:r w:rsidR="00E47961" w:rsidRPr="00E47961">
        <w:t xml:space="preserve"> </w:t>
      </w:r>
      <w:proofErr w:type="spellStart"/>
      <w:r w:rsidR="00E47961" w:rsidRPr="00E47961">
        <w:t>of</w:t>
      </w:r>
      <w:proofErr w:type="spellEnd"/>
      <w:r w:rsidR="00E47961" w:rsidRPr="00E47961">
        <w:t xml:space="preserve"> </w:t>
      </w:r>
      <w:proofErr w:type="spellStart"/>
      <w:r w:rsidR="00E47961" w:rsidRPr="00E47961">
        <w:t>Economic</w:t>
      </w:r>
      <w:proofErr w:type="spellEnd"/>
      <w:r w:rsidR="00E47961" w:rsidRPr="00E47961">
        <w:t xml:space="preserve">, Administrative and </w:t>
      </w:r>
      <w:proofErr w:type="spellStart"/>
      <w:r w:rsidR="00E47961" w:rsidRPr="00E47961">
        <w:t>Accounting</w:t>
      </w:r>
      <w:proofErr w:type="spellEnd"/>
      <w:r w:rsidR="00E47961" w:rsidRPr="00E47961">
        <w:t xml:space="preserve"> </w:t>
      </w:r>
      <w:proofErr w:type="spellStart"/>
      <w:r w:rsidR="00E47961" w:rsidRPr="00E47961">
        <w:t>Sciences</w:t>
      </w:r>
      <w:proofErr w:type="spellEnd"/>
      <w:r w:rsidR="00E47961" w:rsidRPr="00E47961">
        <w:t xml:space="preserve">, </w:t>
      </w:r>
      <w:r w:rsidR="00E47961" w:rsidRPr="0037168D">
        <w:rPr>
          <w:sz w:val="22"/>
          <w:szCs w:val="22"/>
        </w:rPr>
        <w:t>Universidad Nacional Autónoma de Honduras,</w:t>
      </w:r>
      <w:r w:rsidR="00E47961">
        <w:rPr>
          <w:sz w:val="22"/>
          <w:szCs w:val="22"/>
        </w:rPr>
        <w:t xml:space="preserve"> ORCID: </w:t>
      </w:r>
      <w:hyperlink r:id="rId3" w:history="1">
        <w:r w:rsidR="00E47961" w:rsidRPr="00EF35D2">
          <w:rPr>
            <w:rStyle w:val="Hipervnculo"/>
            <w:sz w:val="24"/>
            <w:szCs w:val="24"/>
          </w:rPr>
          <w:t>https://orcid.org/0000-0002-3143-4253</w:t>
        </w:r>
      </w:hyperlink>
      <w:r w:rsidR="00E47961">
        <w:t xml:space="preserve">, </w:t>
      </w:r>
      <w:r w:rsidR="00E47961">
        <w:t>e-mail</w:t>
      </w:r>
      <w:r w:rsidR="00E47961">
        <w:t xml:space="preserve">: </w:t>
      </w:r>
      <w:hyperlink r:id="rId4" w:history="1">
        <w:r w:rsidR="00E47961" w:rsidRPr="00BF10DA">
          <w:rPr>
            <w:rStyle w:val="Hipervnculo"/>
            <w:sz w:val="24"/>
            <w:szCs w:val="24"/>
          </w:rPr>
          <w:t>gaho01988@gmail.com</w:t>
        </w:r>
      </w:hyperlink>
      <w:r w:rsidR="00E47961">
        <w:rPr>
          <w:sz w:val="24"/>
          <w:szCs w:val="24"/>
        </w:rPr>
        <w:t>, Tegucigalpa, Honduras.</w:t>
      </w:r>
    </w:p>
    <w:p w14:paraId="1AE4AE7D" w14:textId="342C9E37" w:rsidR="00907652" w:rsidRPr="00E47961" w:rsidRDefault="0090765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DD49" w14:textId="77777777" w:rsidR="003525DB" w:rsidRDefault="003525D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841B" w14:textId="77777777" w:rsidR="003525DB" w:rsidRDefault="003525DB">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812D" w14:textId="77777777" w:rsidR="003525DB" w:rsidRDefault="003525DB">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0893"/>
    <w:multiLevelType w:val="multilevel"/>
    <w:tmpl w:val="5A8C48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575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5DB"/>
    <w:rsid w:val="0002795E"/>
    <w:rsid w:val="001754DF"/>
    <w:rsid w:val="001B310C"/>
    <w:rsid w:val="002D2761"/>
    <w:rsid w:val="003525DB"/>
    <w:rsid w:val="0037168D"/>
    <w:rsid w:val="003F0A7A"/>
    <w:rsid w:val="006A6E1D"/>
    <w:rsid w:val="00830B44"/>
    <w:rsid w:val="00907652"/>
    <w:rsid w:val="00BC6E64"/>
    <w:rsid w:val="00C15D5A"/>
    <w:rsid w:val="00DB6D1B"/>
    <w:rsid w:val="00E47961"/>
    <w:rsid w:val="00F37222"/>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6311"/>
  <w15:docId w15:val="{1C728DF1-5B1D-4F60-9DB8-FFFE0B04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nfasis">
    <w:name w:val="Emphasis"/>
    <w:basedOn w:val="Fuentedeprrafopredeter"/>
    <w:uiPriority w:val="20"/>
    <w:qFormat/>
    <w:rsid w:val="003B3056"/>
    <w:rPr>
      <w:i/>
      <w:iCs/>
    </w:rPr>
  </w:style>
  <w:style w:type="paragraph" w:styleId="NormalWeb">
    <w:name w:val="Normal (Web)"/>
    <w:basedOn w:val="Normal"/>
    <w:uiPriority w:val="99"/>
    <w:unhideWhenUsed/>
    <w:rsid w:val="003B3056"/>
    <w:pPr>
      <w:spacing w:before="100" w:beforeAutospacing="1" w:after="100" w:afterAutospacing="1"/>
    </w:pPr>
    <w:rPr>
      <w:lang w:val="en-US" w:eastAsia="en-US"/>
    </w:rPr>
  </w:style>
  <w:style w:type="table" w:styleId="Tablaconcuadrcula">
    <w:name w:val="Table Grid"/>
    <w:basedOn w:val="Tablanormal"/>
    <w:uiPriority w:val="59"/>
    <w:rsid w:val="003B3056"/>
    <w:rPr>
      <w:rFonts w:ascii="Calibri" w:hAnsi="Calibri"/>
      <w:sz w:val="20"/>
      <w:szCs w:val="20"/>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526EA"/>
  </w:style>
  <w:style w:type="character" w:customStyle="1" w:styleId="eop">
    <w:name w:val="eop"/>
    <w:basedOn w:val="Fuentedeprrafopredeter"/>
    <w:rsid w:val="00F526EA"/>
  </w:style>
  <w:style w:type="paragraph" w:customStyle="1" w:styleId="MDPI31text">
    <w:name w:val="MDPI_3.1_text"/>
    <w:qFormat/>
    <w:rsid w:val="00F22058"/>
    <w:pPr>
      <w:adjustRightInd w:val="0"/>
      <w:snapToGrid w:val="0"/>
      <w:spacing w:line="228" w:lineRule="auto"/>
      <w:ind w:left="2608" w:firstLine="425"/>
      <w:jc w:val="both"/>
    </w:pPr>
    <w:rPr>
      <w:rFonts w:ascii="Palatino Linotype" w:hAnsi="Palatino Linotype"/>
      <w:snapToGrid w:val="0"/>
      <w:color w:val="000000"/>
      <w:sz w:val="20"/>
      <w:lang w:val="en-US" w:eastAsia="de-DE"/>
    </w:rPr>
  </w:style>
  <w:style w:type="character" w:styleId="Hipervnculo">
    <w:name w:val="Hyperlink"/>
    <w:basedOn w:val="Fuentedeprrafopredeter"/>
    <w:uiPriority w:val="99"/>
    <w:unhideWhenUsed/>
    <w:rsid w:val="00485F10"/>
    <w:rPr>
      <w:color w:val="0563C1" w:themeColor="hyperlink"/>
      <w:u w:val="single"/>
    </w:rPr>
  </w:style>
  <w:style w:type="character" w:customStyle="1" w:styleId="Mencinsinresolver1">
    <w:name w:val="Mención sin resolver1"/>
    <w:basedOn w:val="Fuentedeprrafopredeter"/>
    <w:uiPriority w:val="99"/>
    <w:semiHidden/>
    <w:unhideWhenUsed/>
    <w:rsid w:val="00485F10"/>
    <w:rPr>
      <w:color w:val="605E5C"/>
      <w:shd w:val="clear" w:color="auto" w:fill="E1DFDD"/>
    </w:rPr>
  </w:style>
  <w:style w:type="paragraph" w:customStyle="1" w:styleId="Autores">
    <w:name w:val="Autores"/>
    <w:basedOn w:val="Normal"/>
    <w:link w:val="AutoresCar"/>
    <w:autoRedefine/>
    <w:qFormat/>
    <w:rsid w:val="00485F10"/>
    <w:pPr>
      <w:jc w:val="center"/>
    </w:pPr>
    <w:rPr>
      <w:i/>
      <w:sz w:val="26"/>
      <w:szCs w:val="26"/>
      <w:lang w:val="es-MX" w:eastAsia="en-US"/>
    </w:rPr>
  </w:style>
  <w:style w:type="character" w:customStyle="1" w:styleId="AutoresCar">
    <w:name w:val="Autores Car"/>
    <w:basedOn w:val="Fuentedeprrafopredeter"/>
    <w:link w:val="Autores"/>
    <w:rsid w:val="00485F10"/>
    <w:rPr>
      <w:rFonts w:ascii="Times New Roman" w:eastAsia="Times New Roman" w:hAnsi="Times New Roman" w:cs="Times New Roman"/>
      <w:i/>
      <w:sz w:val="26"/>
      <w:szCs w:val="26"/>
      <w:lang w:val="es-MX"/>
    </w:rPr>
  </w:style>
  <w:style w:type="paragraph" w:styleId="Textonotapie">
    <w:name w:val="footnote text"/>
    <w:basedOn w:val="Normal"/>
    <w:link w:val="TextonotapieCar"/>
    <w:uiPriority w:val="99"/>
    <w:semiHidden/>
    <w:unhideWhenUsed/>
    <w:rsid w:val="00485F10"/>
    <w:rPr>
      <w:sz w:val="20"/>
      <w:szCs w:val="20"/>
    </w:rPr>
  </w:style>
  <w:style w:type="character" w:customStyle="1" w:styleId="TextonotapieCar">
    <w:name w:val="Texto nota pie Car"/>
    <w:basedOn w:val="Fuentedeprrafopredeter"/>
    <w:link w:val="Textonotapie"/>
    <w:uiPriority w:val="99"/>
    <w:semiHidden/>
    <w:rsid w:val="00485F10"/>
    <w:rPr>
      <w:rFonts w:ascii="Times New Roman" w:eastAsia="Calibri" w:hAnsi="Times New Roman" w:cs="Times New Roman"/>
      <w:sz w:val="20"/>
      <w:szCs w:val="20"/>
      <w:lang w:val="es-ES" w:eastAsia="ar-SA"/>
    </w:rPr>
  </w:style>
  <w:style w:type="character" w:styleId="Refdenotaalpie">
    <w:name w:val="footnote reference"/>
    <w:basedOn w:val="Fuentedeprrafopredeter"/>
    <w:uiPriority w:val="99"/>
    <w:semiHidden/>
    <w:unhideWhenUsed/>
    <w:rsid w:val="00485F10"/>
    <w:rPr>
      <w:vertAlign w:val="superscript"/>
    </w:rPr>
  </w:style>
  <w:style w:type="paragraph" w:styleId="Textonotaalfinal">
    <w:name w:val="endnote text"/>
    <w:basedOn w:val="Normal"/>
    <w:link w:val="TextonotaalfinalCar"/>
    <w:uiPriority w:val="99"/>
    <w:semiHidden/>
    <w:unhideWhenUsed/>
    <w:rsid w:val="00485F10"/>
    <w:rPr>
      <w:sz w:val="20"/>
      <w:szCs w:val="20"/>
    </w:rPr>
  </w:style>
  <w:style w:type="character" w:customStyle="1" w:styleId="TextonotaalfinalCar">
    <w:name w:val="Texto nota al final Car"/>
    <w:basedOn w:val="Fuentedeprrafopredeter"/>
    <w:link w:val="Textonotaalfinal"/>
    <w:uiPriority w:val="99"/>
    <w:semiHidden/>
    <w:rsid w:val="00485F10"/>
    <w:rPr>
      <w:rFonts w:ascii="Times New Roman" w:eastAsia="Calibri" w:hAnsi="Times New Roman" w:cs="Times New Roman"/>
      <w:sz w:val="20"/>
      <w:szCs w:val="20"/>
      <w:lang w:val="es-ES" w:eastAsia="ar-SA"/>
    </w:rPr>
  </w:style>
  <w:style w:type="character" w:styleId="Refdenotaalfinal">
    <w:name w:val="endnote reference"/>
    <w:basedOn w:val="Fuentedeprrafopredeter"/>
    <w:uiPriority w:val="99"/>
    <w:semiHidden/>
    <w:unhideWhenUsed/>
    <w:rsid w:val="00485F10"/>
    <w:rPr>
      <w:vertAlign w:val="superscript"/>
    </w:rPr>
  </w:style>
  <w:style w:type="paragraph" w:styleId="Encabezado">
    <w:name w:val="header"/>
    <w:basedOn w:val="Normal"/>
    <w:link w:val="EncabezadoCar"/>
    <w:uiPriority w:val="99"/>
    <w:unhideWhenUsed/>
    <w:rsid w:val="00C5770D"/>
    <w:pPr>
      <w:tabs>
        <w:tab w:val="center" w:pos="4252"/>
        <w:tab w:val="right" w:pos="8504"/>
      </w:tabs>
    </w:pPr>
  </w:style>
  <w:style w:type="character" w:customStyle="1" w:styleId="EncabezadoCar">
    <w:name w:val="Encabezado Car"/>
    <w:basedOn w:val="Fuentedeprrafopredeter"/>
    <w:link w:val="Encabezado"/>
    <w:uiPriority w:val="99"/>
    <w:rsid w:val="00C5770D"/>
    <w:rPr>
      <w:rFonts w:ascii="Times New Roman" w:eastAsia="Calibri" w:hAnsi="Times New Roman" w:cs="Times New Roman"/>
      <w:sz w:val="24"/>
      <w:lang w:val="es-ES" w:eastAsia="ar-SA"/>
    </w:rPr>
  </w:style>
  <w:style w:type="paragraph" w:styleId="Piedepgina">
    <w:name w:val="footer"/>
    <w:basedOn w:val="Normal"/>
    <w:link w:val="PiedepginaCar"/>
    <w:uiPriority w:val="99"/>
    <w:unhideWhenUsed/>
    <w:rsid w:val="00C5770D"/>
    <w:pPr>
      <w:tabs>
        <w:tab w:val="center" w:pos="4252"/>
        <w:tab w:val="right" w:pos="8504"/>
      </w:tabs>
    </w:pPr>
  </w:style>
  <w:style w:type="character" w:customStyle="1" w:styleId="PiedepginaCar">
    <w:name w:val="Pie de página Car"/>
    <w:basedOn w:val="Fuentedeprrafopredeter"/>
    <w:link w:val="Piedepgina"/>
    <w:uiPriority w:val="99"/>
    <w:rsid w:val="00C5770D"/>
    <w:rPr>
      <w:rFonts w:ascii="Times New Roman" w:eastAsia="Calibri" w:hAnsi="Times New Roman" w:cs="Times New Roman"/>
      <w:sz w:val="24"/>
      <w:lang w:val="es-ES" w:eastAsia="ar-SA"/>
    </w:rPr>
  </w:style>
  <w:style w:type="character" w:styleId="Refdecomentario">
    <w:name w:val="annotation reference"/>
    <w:basedOn w:val="Fuentedeprrafopredeter"/>
    <w:uiPriority w:val="99"/>
    <w:semiHidden/>
    <w:unhideWhenUsed/>
    <w:rsid w:val="00930AAD"/>
    <w:rPr>
      <w:sz w:val="16"/>
      <w:szCs w:val="16"/>
    </w:rPr>
  </w:style>
  <w:style w:type="paragraph" w:styleId="Textocomentario">
    <w:name w:val="annotation text"/>
    <w:basedOn w:val="Normal"/>
    <w:link w:val="TextocomentarioCar"/>
    <w:uiPriority w:val="99"/>
    <w:unhideWhenUsed/>
    <w:rsid w:val="00930AAD"/>
    <w:rPr>
      <w:sz w:val="20"/>
      <w:szCs w:val="20"/>
    </w:rPr>
  </w:style>
  <w:style w:type="character" w:customStyle="1" w:styleId="TextocomentarioCar">
    <w:name w:val="Texto comentario Car"/>
    <w:basedOn w:val="Fuentedeprrafopredeter"/>
    <w:link w:val="Textocomentario"/>
    <w:uiPriority w:val="99"/>
    <w:rsid w:val="00930AAD"/>
    <w:rPr>
      <w:rFonts w:ascii="Times New Roman" w:eastAsia="Calibri"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930AAD"/>
    <w:rPr>
      <w:b/>
      <w:bCs/>
    </w:rPr>
  </w:style>
  <w:style w:type="character" w:customStyle="1" w:styleId="AsuntodelcomentarioCar">
    <w:name w:val="Asunto del comentario Car"/>
    <w:basedOn w:val="TextocomentarioCar"/>
    <w:link w:val="Asuntodelcomentario"/>
    <w:uiPriority w:val="99"/>
    <w:semiHidden/>
    <w:rsid w:val="00930AAD"/>
    <w:rPr>
      <w:rFonts w:ascii="Times New Roman" w:eastAsia="Calibri" w:hAnsi="Times New Roman" w:cs="Times New Roman"/>
      <w:b/>
      <w:bCs/>
      <w:sz w:val="20"/>
      <w:szCs w:val="20"/>
      <w:lang w:val="es-ES" w:eastAsia="ar-SA"/>
    </w:rPr>
  </w:style>
  <w:style w:type="paragraph" w:styleId="Textodeglobo">
    <w:name w:val="Balloon Text"/>
    <w:basedOn w:val="Normal"/>
    <w:link w:val="TextodegloboCar"/>
    <w:uiPriority w:val="99"/>
    <w:semiHidden/>
    <w:unhideWhenUsed/>
    <w:rsid w:val="004701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0190"/>
    <w:rPr>
      <w:rFonts w:ascii="Segoe UI" w:eastAsia="Calibri" w:hAnsi="Segoe UI" w:cs="Segoe UI"/>
      <w:sz w:val="18"/>
      <w:szCs w:val="18"/>
      <w:lang w:val="es-ES"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character" w:styleId="Mencinsinresolver">
    <w:name w:val="Unresolved Mention"/>
    <w:basedOn w:val="Fuentedeprrafopredeter"/>
    <w:uiPriority w:val="99"/>
    <w:semiHidden/>
    <w:unhideWhenUsed/>
    <w:rsid w:val="0037168D"/>
    <w:rPr>
      <w:color w:val="605E5C"/>
      <w:shd w:val="clear" w:color="auto" w:fill="E1DFDD"/>
    </w:rPr>
  </w:style>
  <w:style w:type="paragraph" w:styleId="HTMLconformatoprevio">
    <w:name w:val="HTML Preformatted"/>
    <w:basedOn w:val="Normal"/>
    <w:link w:val="HTMLconformatoprevioCar"/>
    <w:uiPriority w:val="99"/>
    <w:semiHidden/>
    <w:unhideWhenUsed/>
    <w:rsid w:val="00E4796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4796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379869">
      <w:bodyDiv w:val="1"/>
      <w:marLeft w:val="0"/>
      <w:marRight w:val="0"/>
      <w:marTop w:val="0"/>
      <w:marBottom w:val="0"/>
      <w:divBdr>
        <w:top w:val="none" w:sz="0" w:space="0" w:color="auto"/>
        <w:left w:val="none" w:sz="0" w:space="0" w:color="auto"/>
        <w:bottom w:val="none" w:sz="0" w:space="0" w:color="auto"/>
        <w:right w:val="none" w:sz="0" w:space="0" w:color="auto"/>
      </w:divBdr>
    </w:div>
    <w:div w:id="192560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i.ii"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3143-4253" TargetMode="External"/><Relationship Id="rId2" Type="http://schemas.openxmlformats.org/officeDocument/2006/relationships/hyperlink" Target="mailto:gaho01988@gmail.com" TargetMode="External"/><Relationship Id="rId1" Type="http://schemas.openxmlformats.org/officeDocument/2006/relationships/hyperlink" Target="https://orcid.org/0000-0002-3143-4253" TargetMode="External"/><Relationship Id="rId4" Type="http://schemas.openxmlformats.org/officeDocument/2006/relationships/hyperlink" Target="mailto:gaho01988@gmail.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cap="all" spc="50" baseline="0">
                <a:solidFill>
                  <a:schemeClr val="tx1">
                    <a:lumMod val="65000"/>
                    <a:lumOff val="35000"/>
                  </a:schemeClr>
                </a:solidFill>
                <a:latin typeface="Palatino Linotype" panose="02040502050505030304" pitchFamily="18" charset="0"/>
                <a:ea typeface="+mn-ea"/>
                <a:cs typeface="+mn-cs"/>
              </a:defRPr>
            </a:pPr>
            <a:r>
              <a:rPr lang="en-US" sz="1050"/>
              <a:t>Año de publicación</a:t>
            </a:r>
          </a:p>
        </c:rich>
      </c:tx>
      <c:overlay val="0"/>
      <c:spPr>
        <a:noFill/>
        <a:ln>
          <a:noFill/>
        </a:ln>
        <a:effectLst/>
      </c:spPr>
      <c:txPr>
        <a:bodyPr rot="0" spcFirstLastPara="1" vertOverflow="ellipsis" vert="horz" wrap="square" anchor="ctr" anchorCtr="1"/>
        <a:lstStyle/>
        <a:p>
          <a:pPr>
            <a:defRPr sz="1050" b="1" i="0" u="none" strike="noStrike" kern="1200" cap="all" spc="50" baseline="0">
              <a:solidFill>
                <a:schemeClr val="tx1">
                  <a:lumMod val="65000"/>
                  <a:lumOff val="35000"/>
                </a:schemeClr>
              </a:solidFill>
              <a:latin typeface="Palatino Linotype" panose="02040502050505030304" pitchFamily="18" charset="0"/>
              <a:ea typeface="+mn-ea"/>
              <a:cs typeface="+mn-cs"/>
            </a:defRPr>
          </a:pPr>
          <a:endParaRPr lang="es-ES"/>
        </a:p>
      </c:txPr>
    </c:title>
    <c:autoTitleDeleted val="0"/>
    <c:plotArea>
      <c:layout/>
      <c:areaChart>
        <c:grouping val="stacked"/>
        <c:varyColors val="0"/>
        <c:ser>
          <c:idx val="0"/>
          <c:order val="0"/>
          <c:tx>
            <c:strRef>
              <c:f>Hoja1!$J$20</c:f>
              <c:strCache>
                <c:ptCount val="1"/>
                <c:pt idx="0">
                  <c:v>Publicaciones</c:v>
                </c:pt>
              </c:strCache>
            </c:strRef>
          </c:tx>
          <c:spPr>
            <a:solidFill>
              <a:schemeClr val="accent1">
                <a:alpha val="74000"/>
              </a:schemeClr>
            </a:solidFill>
            <a:ln>
              <a:noFill/>
            </a:ln>
            <a:effectLst>
              <a:innerShdw blurRad="114300">
                <a:schemeClr val="accent1">
                  <a:lumMod val="75000"/>
                </a:schemeClr>
              </a:innerShdw>
            </a:effectLst>
          </c:spPr>
          <c:dLbls>
            <c:delete val="1"/>
          </c:dLbls>
          <c:cat>
            <c:numRef>
              <c:f>Hoja1!$K$19:$T$19</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Hoja1!$K$20:$T$20</c:f>
              <c:numCache>
                <c:formatCode>General</c:formatCode>
                <c:ptCount val="10"/>
                <c:pt idx="0">
                  <c:v>1</c:v>
                </c:pt>
                <c:pt idx="1">
                  <c:v>1</c:v>
                </c:pt>
                <c:pt idx="2">
                  <c:v>2</c:v>
                </c:pt>
                <c:pt idx="3">
                  <c:v>6</c:v>
                </c:pt>
                <c:pt idx="4">
                  <c:v>9</c:v>
                </c:pt>
                <c:pt idx="5">
                  <c:v>13</c:v>
                </c:pt>
                <c:pt idx="6">
                  <c:v>5</c:v>
                </c:pt>
                <c:pt idx="7">
                  <c:v>8</c:v>
                </c:pt>
                <c:pt idx="8">
                  <c:v>8</c:v>
                </c:pt>
                <c:pt idx="9">
                  <c:v>1</c:v>
                </c:pt>
              </c:numCache>
            </c:numRef>
          </c:val>
          <c:extLst>
            <c:ext xmlns:c16="http://schemas.microsoft.com/office/drawing/2014/chart" uri="{C3380CC4-5D6E-409C-BE32-E72D297353CC}">
              <c16:uniqueId val="{00000000-4228-4131-A35D-C04919C0EAEF}"/>
            </c:ext>
          </c:extLst>
        </c:ser>
        <c:ser>
          <c:idx val="1"/>
          <c:order val="1"/>
          <c:tx>
            <c:strRef>
              <c:f>Hoja1!$J$21</c:f>
              <c:strCache>
                <c:ptCount val="1"/>
                <c:pt idx="0">
                  <c:v>% </c:v>
                </c:pt>
              </c:strCache>
            </c:strRef>
          </c:tx>
          <c:spPr>
            <a:solidFill>
              <a:schemeClr val="accent2">
                <a:alpha val="74000"/>
              </a:schemeClr>
            </a:solidFill>
            <a:ln>
              <a:noFill/>
            </a:ln>
            <a:effectLst>
              <a:innerShdw blurRad="114300">
                <a:schemeClr val="accent2">
                  <a:lumMod val="75000"/>
                </a:schemeClr>
              </a:innerShdw>
            </a:effectLst>
          </c:spPr>
          <c:dLbls>
            <c:delete val="1"/>
          </c:dLbls>
          <c:cat>
            <c:numRef>
              <c:f>Hoja1!$K$19:$T$19</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Hoja1!$K$21:$T$21</c:f>
              <c:numCache>
                <c:formatCode>0.00%</c:formatCode>
                <c:ptCount val="10"/>
                <c:pt idx="0">
                  <c:v>1.8518518518518517E-2</c:v>
                </c:pt>
                <c:pt idx="1">
                  <c:v>1.8518518518518517E-2</c:v>
                </c:pt>
                <c:pt idx="2">
                  <c:v>3.7037037037037035E-2</c:v>
                </c:pt>
                <c:pt idx="3">
                  <c:v>0.1111111111111111</c:v>
                </c:pt>
                <c:pt idx="4">
                  <c:v>0.16666666666666666</c:v>
                </c:pt>
                <c:pt idx="5">
                  <c:v>0.24074074074074073</c:v>
                </c:pt>
                <c:pt idx="6">
                  <c:v>9.2592592592592587E-2</c:v>
                </c:pt>
                <c:pt idx="7">
                  <c:v>0.14814814814814814</c:v>
                </c:pt>
                <c:pt idx="8">
                  <c:v>0.14814814814814814</c:v>
                </c:pt>
                <c:pt idx="9">
                  <c:v>1.8518518518518517E-2</c:v>
                </c:pt>
              </c:numCache>
            </c:numRef>
          </c:val>
          <c:extLst>
            <c:ext xmlns:c16="http://schemas.microsoft.com/office/drawing/2014/chart" uri="{C3380CC4-5D6E-409C-BE32-E72D297353CC}">
              <c16:uniqueId val="{00000001-4228-4131-A35D-C04919C0EAEF}"/>
            </c:ext>
          </c:extLst>
        </c:ser>
        <c:dLbls>
          <c:showLegendKey val="0"/>
          <c:showVal val="1"/>
          <c:showCatName val="0"/>
          <c:showSerName val="0"/>
          <c:showPercent val="0"/>
          <c:showBubbleSize val="0"/>
        </c:dLbls>
        <c:axId val="2102169455"/>
        <c:axId val="2102169871"/>
      </c:areaChart>
      <c:catAx>
        <c:axId val="2102169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Palatino Linotype" panose="02040502050505030304" pitchFamily="18" charset="0"/>
                <a:ea typeface="+mn-ea"/>
                <a:cs typeface="+mn-cs"/>
              </a:defRPr>
            </a:pPr>
            <a:endParaRPr lang="es-ES"/>
          </a:p>
        </c:txPr>
        <c:crossAx val="2102169871"/>
        <c:crosses val="autoZero"/>
        <c:auto val="1"/>
        <c:lblAlgn val="ctr"/>
        <c:lblOffset val="100"/>
        <c:noMultiLvlLbl val="0"/>
      </c:catAx>
      <c:valAx>
        <c:axId val="2102169871"/>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600" b="0" i="0" u="none" strike="noStrike" kern="1200" cap="all" baseline="0">
                    <a:solidFill>
                      <a:schemeClr val="tx1">
                        <a:lumMod val="65000"/>
                        <a:lumOff val="35000"/>
                      </a:schemeClr>
                    </a:solidFill>
                    <a:latin typeface="Palatino Linotype" panose="02040502050505030304" pitchFamily="18" charset="0"/>
                    <a:ea typeface="+mn-ea"/>
                    <a:cs typeface="+mn-cs"/>
                  </a:defRPr>
                </a:pPr>
                <a:r>
                  <a:rPr lang="es-ES" sz="600"/>
                  <a:t>No. de publicaciones</a:t>
                </a:r>
              </a:p>
            </c:rich>
          </c:tx>
          <c:layout>
            <c:manualLayout>
              <c:xMode val="edge"/>
              <c:yMode val="edge"/>
              <c:x val="0.12448864749502925"/>
              <c:y val="8.1944605452064806E-2"/>
            </c:manualLayout>
          </c:layout>
          <c:overlay val="0"/>
          <c:spPr>
            <a:noFill/>
            <a:ln>
              <a:noFill/>
            </a:ln>
            <a:effectLst/>
          </c:spPr>
          <c:txPr>
            <a:bodyPr rot="-5400000" spcFirstLastPara="1" vertOverflow="ellipsis" vert="horz" wrap="square" anchor="ctr" anchorCtr="1"/>
            <a:lstStyle/>
            <a:p>
              <a:pPr>
                <a:defRPr sz="600" b="0" i="0" u="none" strike="noStrike" kern="1200" cap="all" baseline="0">
                  <a:solidFill>
                    <a:schemeClr val="tx1">
                      <a:lumMod val="65000"/>
                      <a:lumOff val="35000"/>
                    </a:schemeClr>
                  </a:solidFill>
                  <a:latin typeface="Palatino Linotype" panose="02040502050505030304" pitchFamily="18" charset="0"/>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Palatino Linotype" panose="02040502050505030304" pitchFamily="18" charset="0"/>
                <a:ea typeface="+mn-ea"/>
                <a:cs typeface="+mn-cs"/>
              </a:defRPr>
            </a:pPr>
            <a:endParaRPr lang="es-ES"/>
          </a:p>
        </c:txPr>
        <c:crossAx val="2102169455"/>
        <c:crosses val="autoZero"/>
        <c:crossBetween val="midCat"/>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E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s-ES"/>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latin typeface="Palatino Linotype" panose="02040502050505030304" pitchFamily="18" charset="0"/>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Paises</a:t>
            </a:r>
            <a:r>
              <a:rPr lang="en-US" baseline="0"/>
              <a:t> que realizaron publicaciones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Hoja1!$K$46</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Hoja1!$J$47:$J$56</c:f>
              <c:strCache>
                <c:ptCount val="10"/>
                <c:pt idx="0">
                  <c:v>Colombia</c:v>
                </c:pt>
                <c:pt idx="1">
                  <c:v>México </c:v>
                </c:pt>
                <c:pt idx="2">
                  <c:v>Ecuador </c:v>
                </c:pt>
                <c:pt idx="3">
                  <c:v>España</c:v>
                </c:pt>
                <c:pt idx="4">
                  <c:v>Perú </c:v>
                </c:pt>
                <c:pt idx="5">
                  <c:v>Chile</c:v>
                </c:pt>
                <c:pt idx="6">
                  <c:v>Argentina</c:v>
                </c:pt>
                <c:pt idx="7">
                  <c:v>Brasil</c:v>
                </c:pt>
                <c:pt idx="8">
                  <c:v>Honduras</c:v>
                </c:pt>
                <c:pt idx="9">
                  <c:v>Venezuela </c:v>
                </c:pt>
              </c:strCache>
            </c:strRef>
          </c:cat>
          <c:val>
            <c:numRef>
              <c:f>Hoja1!$K$47:$K$56</c:f>
              <c:numCache>
                <c:formatCode>General</c:formatCode>
                <c:ptCount val="10"/>
                <c:pt idx="0">
                  <c:v>19</c:v>
                </c:pt>
                <c:pt idx="1">
                  <c:v>19</c:v>
                </c:pt>
                <c:pt idx="2">
                  <c:v>4</c:v>
                </c:pt>
                <c:pt idx="3">
                  <c:v>3</c:v>
                </c:pt>
                <c:pt idx="4">
                  <c:v>3</c:v>
                </c:pt>
                <c:pt idx="5">
                  <c:v>2</c:v>
                </c:pt>
                <c:pt idx="6">
                  <c:v>1</c:v>
                </c:pt>
                <c:pt idx="7">
                  <c:v>1</c:v>
                </c:pt>
                <c:pt idx="8">
                  <c:v>1</c:v>
                </c:pt>
                <c:pt idx="9">
                  <c:v>1</c:v>
                </c:pt>
              </c:numCache>
            </c:numRef>
          </c:val>
          <c:extLst>
            <c:ext xmlns:c16="http://schemas.microsoft.com/office/drawing/2014/chart" uri="{C3380CC4-5D6E-409C-BE32-E72D297353CC}">
              <c16:uniqueId val="{00000000-0590-4466-AFA5-6B3069B5C521}"/>
            </c:ext>
          </c:extLst>
        </c:ser>
        <c:dLbls>
          <c:dLblPos val="outEnd"/>
          <c:showLegendKey val="0"/>
          <c:showVal val="1"/>
          <c:showCatName val="0"/>
          <c:showSerName val="0"/>
          <c:showPercent val="0"/>
          <c:showBubbleSize val="0"/>
        </c:dLbls>
        <c:gapWidth val="182"/>
        <c:axId val="550162367"/>
        <c:axId val="550171519"/>
      </c:barChart>
      <c:catAx>
        <c:axId val="5501623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50171519"/>
        <c:crosses val="autoZero"/>
        <c:auto val="1"/>
        <c:lblAlgn val="ctr"/>
        <c:lblOffset val="100"/>
        <c:noMultiLvlLbl val="0"/>
      </c:catAx>
      <c:valAx>
        <c:axId val="5501715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5016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4">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a:lumMod val="50000"/>
      </cs:styleClr>
    </cs:fontRef>
    <cs:defRPr sz="10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tx1"/>
    </cs:fontRef>
    <cs:spPr>
      <a:solidFill>
        <a:schemeClr val="phClr">
          <a:alpha val="74000"/>
        </a:schemeClr>
      </a:solidFill>
      <a:effectLst>
        <a:innerShdw blurRad="114300">
          <a:schemeClr val="phClr">
            <a:lumMod val="75000"/>
          </a:schemeClr>
        </a:innerShdw>
      </a:effectLst>
    </cs:spPr>
  </cs:dataPoint>
  <cs:dataPoint3D>
    <cs:lnRef idx="0"/>
    <cs:fillRef idx="0">
      <cs:styleClr val="auto"/>
    </cs:fillRef>
    <cs:effectRef idx="0">
      <cs:styleClr val="auto"/>
    </cs:effectRef>
    <cs:fontRef idx="minor">
      <a:schemeClr val="tx1"/>
    </cs:fontRef>
    <cs:spPr>
      <a:solidFill>
        <a:schemeClr val="phClr">
          <a:alpha val="74000"/>
        </a:schemeClr>
      </a:solidFill>
      <a:effectLst>
        <a:innerShdw blurRad="114300">
          <a:schemeClr val="phClr">
            <a:lumMod val="75000"/>
          </a:schemeClr>
        </a:innerShdw>
      </a:effectLst>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QzmpquDMJpmVTBJje5rAi86MA==">CgMxLjA4AHIhMUhZVk1WaG80QllKV0NWeDQweF9GcDRXX1l1UWhVc0Mt</go:docsCustomData>
</go:gDocsCustomXmlDataStorage>
</file>

<file path=customXml/item2.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BA3FF4-9666-41E0-9BD8-DA050989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13</Pages>
  <Words>4600</Words>
  <Characters>25304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 CACERES</dc:creator>
  <cp:lastModifiedBy>BERLIN GRICEL CACERES RODRIGUEZ</cp:lastModifiedBy>
  <cp:revision>4</cp:revision>
  <dcterms:created xsi:type="dcterms:W3CDTF">2025-07-08T11:22:00Z</dcterms:created>
  <dcterms:modified xsi:type="dcterms:W3CDTF">2025-07-09T03:20:00Z</dcterms:modified>
</cp:coreProperties>
</file>